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2"/>
        <w:rPr>
          <w:rFonts w:hint="eastAsia" w:ascii="宋体" w:hAnsi="宋体"/>
          <w:b/>
          <w:color w:val="auto"/>
          <w:w w:val="150"/>
          <w:sz w:val="52"/>
          <w:highlight w:val="none"/>
        </w:rPr>
      </w:pPr>
    </w:p>
    <w:p>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pPr>
        <w:rPr>
          <w:rFonts w:hint="eastAsia" w:ascii="宋体" w:hAnsi="宋体"/>
          <w:b/>
          <w:bCs/>
          <w:color w:val="auto"/>
          <w:sz w:val="48"/>
          <w:szCs w:val="48"/>
          <w:highlight w:val="none"/>
        </w:rPr>
      </w:pPr>
    </w:p>
    <w:p>
      <w:pPr>
        <w:rPr>
          <w:rFonts w:hint="eastAsia" w:ascii="宋体" w:hAnsi="宋体"/>
          <w:color w:val="auto"/>
          <w:sz w:val="24"/>
          <w:highlight w:val="none"/>
        </w:rPr>
      </w:pPr>
    </w:p>
    <w:p>
      <w:pPr>
        <w:tabs>
          <w:tab w:val="left" w:pos="1140"/>
        </w:tabs>
        <w:ind w:firstLine="1510" w:firstLineChars="472"/>
        <w:rPr>
          <w:rFonts w:ascii="宋体" w:hAnsi="宋体"/>
          <w:color w:val="auto"/>
          <w:sz w:val="32"/>
          <w:highlight w:val="none"/>
        </w:rPr>
      </w:pPr>
    </w:p>
    <w:p>
      <w:pPr>
        <w:pStyle w:val="14"/>
        <w:rPr>
          <w:color w:val="auto"/>
          <w:highlight w:val="none"/>
        </w:rPr>
      </w:pPr>
    </w:p>
    <w:p>
      <w:pPr>
        <w:rPr>
          <w:color w:val="auto"/>
          <w:highlight w:val="none"/>
        </w:rPr>
      </w:pPr>
    </w:p>
    <w:p>
      <w:pPr>
        <w:spacing w:line="360" w:lineRule="auto"/>
        <w:ind w:firstLine="1446" w:firstLineChars="400"/>
        <w:rPr>
          <w:rFonts w:hint="default" w:ascii="宋体" w:hAnsi="宋体"/>
          <w:color w:val="auto"/>
          <w:sz w:val="32"/>
          <w:highlight w:val="none"/>
          <w:lang w:val="en-US"/>
        </w:rPr>
      </w:pPr>
      <w:r>
        <w:rPr>
          <w:rFonts w:hint="eastAsia" w:ascii="宋体" w:hAnsi="宋体"/>
          <w:b/>
          <w:color w:val="auto"/>
          <w:sz w:val="36"/>
          <w:szCs w:val="36"/>
          <w:highlight w:val="none"/>
        </w:rPr>
        <w:t>采购编号：</w:t>
      </w:r>
      <w:r>
        <w:rPr>
          <w:rFonts w:hint="eastAsia" w:ascii="宋体" w:hAnsi="宋体" w:cs="Arial"/>
          <w:b/>
          <w:color w:val="auto"/>
          <w:sz w:val="36"/>
          <w:szCs w:val="36"/>
          <w:highlight w:val="none"/>
          <w:u w:val="single"/>
          <w:lang w:val="en-US" w:eastAsia="zh-CN"/>
        </w:rPr>
        <w:t xml:space="preserve">                                   </w:t>
      </w:r>
    </w:p>
    <w:p>
      <w:pPr>
        <w:ind w:firstLine="1446" w:firstLineChars="400"/>
        <w:jc w:val="both"/>
        <w:rPr>
          <w:rFonts w:hint="default" w:ascii="宋体" w:hAnsi="宋体" w:eastAsia="宋体" w:cs="Arial"/>
          <w:b/>
          <w:color w:val="auto"/>
          <w:sz w:val="36"/>
          <w:szCs w:val="36"/>
          <w:highlight w:val="none"/>
          <w:u w:val="single"/>
          <w:lang w:val="en-US" w:eastAsia="zh-CN"/>
        </w:rPr>
      </w:pPr>
      <w:r>
        <w:rPr>
          <w:rFonts w:hint="eastAsia" w:ascii="宋体" w:hAnsi="宋体"/>
          <w:b/>
          <w:color w:val="auto"/>
          <w:sz w:val="36"/>
          <w:szCs w:val="36"/>
          <w:highlight w:val="none"/>
        </w:rPr>
        <w:t>项目名称：</w:t>
      </w:r>
      <w:r>
        <w:rPr>
          <w:rFonts w:hint="eastAsia" w:ascii="宋体" w:hAnsi="宋体"/>
          <w:b/>
          <w:color w:val="auto"/>
          <w:sz w:val="36"/>
          <w:szCs w:val="36"/>
          <w:highlight w:val="none"/>
          <w:u w:val="single"/>
          <w:lang w:val="en-US" w:eastAsia="zh-CN"/>
        </w:rPr>
        <w:t xml:space="preserve"> </w:t>
      </w:r>
      <w:r>
        <w:rPr>
          <w:rFonts w:hint="eastAsia" w:ascii="宋体" w:hAnsi="宋体"/>
          <w:b w:val="0"/>
          <w:bCs/>
          <w:color w:val="auto"/>
          <w:sz w:val="24"/>
          <w:szCs w:val="24"/>
          <w:highlight w:val="none"/>
          <w:u w:val="single"/>
          <w:lang w:val="en-US" w:eastAsia="zh-CN"/>
        </w:rPr>
        <w:t xml:space="preserve"> 坐位体前屈测试仪、仰卧起坐测试仪、引体向上测试仪 </w:t>
      </w:r>
      <w:r>
        <w:rPr>
          <w:rFonts w:hint="eastAsia" w:ascii="宋体" w:hAnsi="宋体"/>
          <w:b/>
          <w:color w:val="auto"/>
          <w:sz w:val="36"/>
          <w:szCs w:val="36"/>
          <w:highlight w:val="none"/>
          <w:u w:val="single"/>
          <w:lang w:val="en-US" w:eastAsia="zh-CN"/>
        </w:rPr>
        <w:t xml:space="preserve">    </w:t>
      </w:r>
    </w:p>
    <w:p>
      <w:pPr>
        <w:rPr>
          <w:rFonts w:hint="eastAsia" w:ascii="宋体" w:hAnsi="宋体"/>
          <w:color w:val="auto"/>
          <w:sz w:val="24"/>
          <w:highlight w:val="none"/>
        </w:rPr>
      </w:pPr>
    </w:p>
    <w:p>
      <w:pPr>
        <w:rPr>
          <w:rFonts w:hint="eastAsia" w:ascii="宋体" w:hAnsi="宋体"/>
          <w:color w:val="auto"/>
          <w:highlight w:val="none"/>
        </w:rPr>
      </w:pPr>
    </w:p>
    <w:p>
      <w:pPr>
        <w:rPr>
          <w:rFonts w:hint="eastAsia" w:ascii="宋体" w:hAnsi="宋体"/>
          <w:color w:val="auto"/>
          <w:highlight w:val="none"/>
        </w:rPr>
      </w:pPr>
    </w:p>
    <w:p>
      <w:pPr>
        <w:rPr>
          <w:rFonts w:ascii="宋体" w:hAnsi="宋体"/>
          <w:color w:val="auto"/>
          <w:highlight w:val="none"/>
        </w:rPr>
      </w:pPr>
    </w:p>
    <w:p>
      <w:pPr>
        <w:ind w:firstLine="1792" w:firstLineChars="498"/>
        <w:rPr>
          <w:rFonts w:hint="eastAsia" w:ascii="宋体" w:hAnsi="宋体"/>
          <w:color w:val="auto"/>
          <w:sz w:val="36"/>
          <w:highlight w:val="none"/>
        </w:rPr>
      </w:pPr>
    </w:p>
    <w:p>
      <w:pPr>
        <w:pStyle w:val="14"/>
        <w:rPr>
          <w:rFonts w:hint="eastAsia"/>
          <w:color w:val="auto"/>
          <w:highlight w:val="none"/>
        </w:rPr>
      </w:pPr>
    </w:p>
    <w:p>
      <w:pPr>
        <w:rPr>
          <w:rFonts w:hint="eastAsia" w:ascii="宋体" w:hAnsi="宋体"/>
          <w:color w:val="auto"/>
          <w:sz w:val="36"/>
          <w:highlight w:val="none"/>
        </w:rPr>
      </w:pPr>
    </w:p>
    <w:p>
      <w:pPr>
        <w:ind w:firstLine="2530" w:firstLineChars="700"/>
        <w:jc w:val="both"/>
        <w:outlineLvl w:val="9"/>
        <w:rPr>
          <w:rFonts w:hint="default" w:ascii="宋体" w:hAnsi="宋体" w:eastAsia="宋体"/>
          <w:b/>
          <w:color w:val="auto"/>
          <w:sz w:val="36"/>
          <w:szCs w:val="36"/>
          <w:highlight w:val="none"/>
          <w:u w:val="single"/>
          <w:lang w:val="en-US" w:eastAsia="zh-CN"/>
        </w:rPr>
      </w:pPr>
      <w:r>
        <w:rPr>
          <w:rFonts w:hint="eastAsia" w:ascii="宋体" w:hAnsi="宋体"/>
          <w:b/>
          <w:color w:val="auto"/>
          <w:sz w:val="36"/>
          <w:szCs w:val="36"/>
          <w:highlight w:val="none"/>
          <w:lang w:val="en-US" w:eastAsia="zh-CN"/>
        </w:rPr>
        <w:t>泉州师范学院</w:t>
      </w:r>
      <w:r>
        <w:rPr>
          <w:rFonts w:hint="eastAsia" w:ascii="宋体" w:hAnsi="宋体"/>
          <w:b/>
          <w:color w:val="auto"/>
          <w:sz w:val="36"/>
          <w:szCs w:val="36"/>
          <w:highlight w:val="none"/>
          <w:u w:val="none"/>
          <w:lang w:val="en-US" w:eastAsia="zh-CN"/>
        </w:rPr>
        <w:t>体育学院</w:t>
      </w:r>
    </w:p>
    <w:p>
      <w:pPr>
        <w:spacing w:before="313" w:beforeLines="100" w:after="313" w:afterLines="100" w:line="360" w:lineRule="exact"/>
        <w:jc w:val="center"/>
        <w:rPr>
          <w:rFonts w:hint="eastAsia" w:ascii="宋体" w:hAnsi="宋体"/>
          <w:b/>
          <w:color w:val="auto"/>
          <w:sz w:val="36"/>
          <w:szCs w:val="36"/>
          <w:highlight w:val="none"/>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宋体" w:hAnsi="宋体"/>
          <w:b/>
          <w:color w:val="auto"/>
          <w:sz w:val="36"/>
          <w:szCs w:val="36"/>
          <w:highlight w:val="none"/>
        </w:rPr>
        <w:t>年</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月</w:t>
      </w:r>
    </w:p>
    <w:p>
      <w:pPr>
        <w:pStyle w:val="2"/>
        <w:rPr>
          <w:rFonts w:hint="eastAsia"/>
          <w:color w:val="auto"/>
        </w:rPr>
      </w:pPr>
    </w:p>
    <w:p>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color w:val="auto"/>
          <w:kern w:val="2"/>
          <w:sz w:val="21"/>
          <w:szCs w:val="24"/>
          <w:highlight w:val="none"/>
          <w:lang w:val="en-US" w:eastAsia="zh-CN" w:bidi="ar-SA"/>
        </w:rPr>
        <w:id w:val="147453954"/>
        <w15:color w:val="DBDBDB"/>
        <w:docPartObj>
          <w:docPartGallery w:val="Table of Contents"/>
          <w:docPartUnique/>
        </w:docPartObj>
      </w:sdtPr>
      <w:sdtEndPr>
        <w:rPr>
          <w:rFonts w:hint="eastAsia" w:ascii="宋体" w:hAnsi="宋体" w:eastAsia="宋体" w:cs="宋体"/>
          <w:b/>
          <w:bCs/>
          <w:caps/>
          <w:color w:val="auto"/>
          <w:kern w:val="2"/>
          <w:sz w:val="20"/>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"1-2"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_Toc18223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第一部分    </w:t>
          </w:r>
          <w:r>
            <w:rPr>
              <w:rFonts w:hint="eastAsia" w:ascii="宋体" w:hAnsi="宋体" w:eastAsia="宋体" w:cs="宋体"/>
              <w:color w:val="auto"/>
              <w:sz w:val="24"/>
              <w:szCs w:val="24"/>
              <w:highlight w:val="none"/>
              <w:lang w:eastAsia="zh-CN"/>
            </w:rPr>
            <w:t>询</w:t>
          </w:r>
          <w:r>
            <w:rPr>
              <w:rFonts w:hint="eastAsia" w:ascii="宋体" w:hAnsi="宋体" w:eastAsia="宋体" w:cs="宋体"/>
              <w:color w:val="auto"/>
              <w:sz w:val="24"/>
              <w:szCs w:val="24"/>
              <w:highlight w:val="none"/>
            </w:rPr>
            <w:t>价邀请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_Toc18223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_Toc13469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询价</w:t>
          </w:r>
          <w:r>
            <w:rPr>
              <w:rFonts w:hint="eastAsia" w:ascii="宋体" w:hAnsi="宋体" w:eastAsia="宋体" w:cs="宋体"/>
              <w:color w:val="auto"/>
              <w:sz w:val="24"/>
              <w:szCs w:val="24"/>
              <w:highlight w:val="none"/>
              <w:lang w:eastAsia="zh-CN"/>
            </w:rPr>
            <w:t>标的</w:t>
          </w:r>
          <w:r>
            <w:rPr>
              <w:rFonts w:hint="eastAsia" w:ascii="宋体" w:hAnsi="宋体" w:eastAsia="宋体" w:cs="宋体"/>
              <w:color w:val="auto"/>
              <w:sz w:val="24"/>
              <w:szCs w:val="24"/>
              <w:highlight w:val="none"/>
            </w:rPr>
            <w:t>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_Toc13469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_Toc7302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第二部分</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报价供应商须知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_Toc5918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询价内容</w:t>
          </w:r>
          <w:r>
            <w:rPr>
              <w:rFonts w:hint="eastAsia" w:ascii="宋体" w:hAnsi="宋体" w:eastAsia="宋体" w:cs="宋体"/>
              <w:color w:val="auto"/>
              <w:sz w:val="24"/>
              <w:szCs w:val="24"/>
              <w:highlight w:val="none"/>
            </w:rPr>
            <w:t>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_Toc29063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_Toc29063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格式1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报   价  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_Toc13976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格式2                       报价一览表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_Toc12436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分项报价明细表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_Toc12436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_Toc24037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资格声明函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_Toc24037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_Toc30609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法定代表人授权书(原件)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_Toc30609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14"/>
        <w:rPr>
          <w:rFonts w:hint="eastAsia"/>
          <w:color w:val="auto"/>
          <w:highlight w:val="none"/>
        </w:rPr>
      </w:pPr>
    </w:p>
    <w:p>
      <w:pPr>
        <w:rPr>
          <w:rFonts w:hint="eastAsia"/>
          <w:color w:val="auto"/>
          <w:highlight w:val="none"/>
        </w:rPr>
      </w:pPr>
    </w:p>
    <w:p>
      <w:pPr>
        <w:pStyle w:val="14"/>
        <w:rPr>
          <w:rFonts w:hint="eastAsia"/>
          <w:color w:val="auto"/>
          <w:highlight w:val="none"/>
        </w:rPr>
      </w:pPr>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3"/>
        <w:spacing w:before="0" w:after="0" w:line="360" w:lineRule="auto"/>
        <w:jc w:val="center"/>
        <w:rPr>
          <w:rFonts w:hint="eastAsia" w:ascii="宋体" w:hAnsi="宋体" w:eastAsia="宋体"/>
          <w:color w:val="auto"/>
          <w:sz w:val="36"/>
          <w:szCs w:val="36"/>
          <w:highlight w:val="none"/>
        </w:rPr>
      </w:pPr>
      <w:bookmarkStart w:id="0" w:name="_Toc10914"/>
      <w:bookmarkStart w:id="1" w:name="_Toc26208"/>
      <w:bookmarkStart w:id="2" w:name="_Toc18223"/>
      <w:bookmarkStart w:id="3" w:name="_Toc9763"/>
      <w:bookmarkStart w:id="4" w:name="_Toc134733479"/>
      <w:r>
        <w:rPr>
          <w:rFonts w:hint="eastAsia" w:ascii="宋体" w:hAnsi="宋体" w:eastAsia="宋体"/>
          <w:color w:val="auto"/>
          <w:sz w:val="36"/>
          <w:szCs w:val="36"/>
          <w:highlight w:val="none"/>
        </w:rPr>
        <w:t xml:space="preserve">第一部分    </w:t>
      </w:r>
      <w:r>
        <w:rPr>
          <w:rFonts w:hint="eastAsia" w:ascii="宋体" w:hAnsi="宋体" w:eastAsia="宋体"/>
          <w:color w:val="auto"/>
          <w:sz w:val="36"/>
          <w:szCs w:val="36"/>
          <w:highlight w:val="none"/>
          <w:lang w:eastAsia="zh-CN"/>
        </w:rPr>
        <w:t>询</w:t>
      </w:r>
      <w:r>
        <w:rPr>
          <w:rFonts w:hint="eastAsia" w:ascii="宋体" w:hAnsi="宋体" w:eastAsia="宋体"/>
          <w:color w:val="auto"/>
          <w:sz w:val="36"/>
          <w:szCs w:val="36"/>
          <w:highlight w:val="none"/>
        </w:rPr>
        <w:t>价邀请</w:t>
      </w:r>
      <w:bookmarkEnd w:id="0"/>
      <w:bookmarkEnd w:id="1"/>
      <w:bookmarkEnd w:id="2"/>
      <w:bookmarkEnd w:id="3"/>
      <w:bookmarkEnd w:id="4"/>
    </w:p>
    <w:p>
      <w:pPr>
        <w:pStyle w:val="14"/>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i w:val="0"/>
          <w:iCs w:val="0"/>
          <w:color w:val="auto"/>
          <w:sz w:val="24"/>
          <w:szCs w:val="24"/>
          <w:highlight w:val="none"/>
        </w:rPr>
      </w:pPr>
      <w:bookmarkStart w:id="5" w:name="_Toc35941127"/>
      <w:bookmarkStart w:id="6" w:name="_Toc53335577"/>
      <w:bookmarkStart w:id="7" w:name="_Toc3785637"/>
      <w:bookmarkStart w:id="8" w:name="_Toc108257590"/>
      <w:bookmarkStart w:id="9" w:name="_Toc40761347"/>
      <w:bookmarkStart w:id="10" w:name="_Toc36146204"/>
      <w:bookmarkStart w:id="11" w:name="_Toc108260365"/>
      <w:bookmarkStart w:id="12" w:name="_Toc35068743"/>
      <w:bookmarkStart w:id="13" w:name="_Toc3785675"/>
      <w:bookmarkStart w:id="14" w:name="_Toc35222536"/>
      <w:bookmarkStart w:id="15" w:name="_Toc60130052"/>
      <w:bookmarkStart w:id="16" w:name="_Toc35742634"/>
      <w:bookmarkStart w:id="17" w:name="_Toc34745149"/>
      <w:bookmarkStart w:id="18" w:name="_Toc35599967"/>
      <w:bookmarkStart w:id="19" w:name="_Toc3785513"/>
      <w:bookmarkStart w:id="20" w:name="_Toc93397984"/>
      <w:bookmarkStart w:id="21" w:name="_Toc98731630"/>
      <w:bookmarkStart w:id="22" w:name="_Toc35071897"/>
      <w:bookmarkStart w:id="23" w:name="_Toc53570175"/>
      <w:bookmarkStart w:id="24" w:name="_Toc35107772"/>
      <w:bookmarkStart w:id="25" w:name="_Toc3785461"/>
      <w:bookmarkStart w:id="26" w:name="_Toc87857945"/>
      <w:bookmarkStart w:id="27" w:name="_Toc33953164"/>
      <w:bookmarkStart w:id="28" w:name="_Toc108257397"/>
      <w:bookmarkStart w:id="29" w:name="_Toc34703823"/>
      <w:bookmarkStart w:id="30" w:name="_Toc54513051"/>
      <w:bookmarkStart w:id="31" w:name="_Toc93397582"/>
      <w:bookmarkStart w:id="32" w:name="_Toc105389203"/>
      <w:bookmarkStart w:id="33" w:name="_Toc98672988"/>
      <w:bookmarkStart w:id="34" w:name="_Toc36123671"/>
      <w:bookmarkStart w:id="35" w:name="_Toc425276503"/>
      <w:bookmarkStart w:id="36" w:name="_Toc108257116"/>
      <w:bookmarkStart w:id="37" w:name="_Toc34789935"/>
      <w:bookmarkStart w:id="38" w:name="_Toc34664278"/>
      <w:bookmarkStart w:id="39" w:name="_Toc35622007"/>
      <w:bookmarkStart w:id="40" w:name="_Toc108257466"/>
      <w:bookmarkStart w:id="41" w:name="_Toc33775520"/>
      <w:r>
        <w:rPr>
          <w:rFonts w:hint="eastAsia" w:ascii="宋体" w:hAnsi="宋体"/>
          <w:i w:val="0"/>
          <w:iCs w:val="0"/>
          <w:color w:val="auto"/>
          <w:sz w:val="24"/>
          <w:szCs w:val="24"/>
          <w:highlight w:val="none"/>
          <w:u w:val="single"/>
          <w:lang w:val="en-US" w:eastAsia="zh-CN"/>
        </w:rPr>
        <w:t xml:space="preserve"> 泉州师范学院体育学院 </w:t>
      </w:r>
      <w:r>
        <w:rPr>
          <w:rFonts w:hint="eastAsia" w:ascii="宋体" w:hAnsi="宋体"/>
          <w:i w:val="0"/>
          <w:iCs w:val="0"/>
          <w:color w:val="auto"/>
          <w:spacing w:val="-6"/>
          <w:sz w:val="24"/>
          <w:szCs w:val="24"/>
          <w:highlight w:val="none"/>
        </w:rPr>
        <w:t>以</w:t>
      </w:r>
      <w:r>
        <w:rPr>
          <w:rFonts w:hint="eastAsia" w:ascii="宋体" w:hAnsi="宋体"/>
          <w:i w:val="0"/>
          <w:iCs w:val="0"/>
          <w:color w:val="auto"/>
          <w:spacing w:val="-6"/>
          <w:sz w:val="24"/>
          <w:szCs w:val="24"/>
          <w:highlight w:val="none"/>
          <w:u w:val="single"/>
        </w:rPr>
        <w:t xml:space="preserve"> </w:t>
      </w:r>
      <w:r>
        <w:rPr>
          <w:rFonts w:hint="eastAsia" w:ascii="宋体" w:hAnsi="宋体"/>
          <w:i w:val="0"/>
          <w:iCs w:val="0"/>
          <w:color w:val="auto"/>
          <w:spacing w:val="-6"/>
          <w:sz w:val="24"/>
          <w:szCs w:val="24"/>
          <w:highlight w:val="none"/>
          <w:u w:val="single"/>
          <w:lang w:val="en-US" w:eastAsia="zh-CN"/>
        </w:rPr>
        <w:t xml:space="preserve"> </w:t>
      </w:r>
      <w:r>
        <w:rPr>
          <w:rFonts w:hint="eastAsia" w:ascii="宋体" w:hAnsi="宋体"/>
          <w:b/>
          <w:bCs/>
          <w:i w:val="0"/>
          <w:iCs w:val="0"/>
          <w:color w:val="auto"/>
          <w:spacing w:val="-6"/>
          <w:sz w:val="24"/>
          <w:szCs w:val="24"/>
          <w:highlight w:val="none"/>
          <w:u w:val="single"/>
        </w:rPr>
        <w:t>询价</w:t>
      </w:r>
      <w:r>
        <w:rPr>
          <w:rFonts w:hint="eastAsia" w:ascii="宋体" w:hAnsi="宋体"/>
          <w:b/>
          <w:bCs/>
          <w:i w:val="0"/>
          <w:iCs w:val="0"/>
          <w:color w:val="auto"/>
          <w:spacing w:val="-6"/>
          <w:sz w:val="24"/>
          <w:szCs w:val="24"/>
          <w:highlight w:val="none"/>
          <w:u w:val="single"/>
          <w:lang w:val="en-US" w:eastAsia="zh-CN"/>
        </w:rPr>
        <w:t xml:space="preserve">  </w:t>
      </w:r>
      <w:r>
        <w:rPr>
          <w:rFonts w:hint="eastAsia" w:ascii="宋体" w:hAnsi="宋体"/>
          <w:bCs/>
          <w:i w:val="0"/>
          <w:iCs w:val="0"/>
          <w:color w:val="auto"/>
          <w:spacing w:val="-6"/>
          <w:sz w:val="24"/>
          <w:szCs w:val="24"/>
          <w:highlight w:val="none"/>
        </w:rPr>
        <w:t>的</w:t>
      </w:r>
      <w:r>
        <w:rPr>
          <w:rFonts w:hint="eastAsia" w:ascii="宋体" w:hAnsi="宋体"/>
          <w:i w:val="0"/>
          <w:iCs w:val="0"/>
          <w:color w:val="auto"/>
          <w:spacing w:val="-6"/>
          <w:sz w:val="24"/>
          <w:szCs w:val="24"/>
          <w:highlight w:val="none"/>
        </w:rPr>
        <w:t>方式对以下项目进行采购，欢迎</w:t>
      </w:r>
      <w:r>
        <w:rPr>
          <w:rFonts w:hint="eastAsia" w:ascii="宋体" w:hAnsi="宋体"/>
          <w:i w:val="0"/>
          <w:iCs w:val="0"/>
          <w:color w:val="auto"/>
          <w:spacing w:val="-6"/>
          <w:sz w:val="24"/>
          <w:szCs w:val="24"/>
          <w:highlight w:val="none"/>
          <w:lang w:eastAsia="zh-CN"/>
        </w:rPr>
        <w:t>合格的受邀</w:t>
      </w:r>
      <w:r>
        <w:rPr>
          <w:rFonts w:hint="eastAsia" w:ascii="宋体" w:hAnsi="宋体"/>
          <w:i w:val="0"/>
          <w:iCs w:val="0"/>
          <w:color w:val="auto"/>
          <w:spacing w:val="-6"/>
          <w:sz w:val="24"/>
          <w:szCs w:val="24"/>
          <w:highlight w:val="none"/>
        </w:rPr>
        <w:t>供应商参加报价。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b w:val="0"/>
          <w:bCs/>
          <w:color w:val="auto"/>
          <w:sz w:val="24"/>
          <w:szCs w:val="24"/>
          <w:highlight w:val="none"/>
          <w:u w:val="single"/>
          <w:lang w:val="en-US" w:eastAsia="zh-CN"/>
        </w:rPr>
      </w:pPr>
      <w:r>
        <w:rPr>
          <w:rFonts w:hint="eastAsia" w:ascii="宋体" w:hAnsi="宋体"/>
          <w:color w:val="auto"/>
          <w:sz w:val="24"/>
          <w:szCs w:val="24"/>
          <w:highlight w:val="none"/>
        </w:rPr>
        <w:t>采购编号：</w:t>
      </w:r>
      <w:r>
        <w:rPr>
          <w:rFonts w:hint="eastAsia" w:ascii="宋体" w:hAnsi="宋体"/>
          <w:b w:val="0"/>
          <w:bCs/>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b w:val="0"/>
          <w:bCs/>
          <w:color w:val="auto"/>
          <w:sz w:val="24"/>
          <w:szCs w:val="24"/>
          <w:highlight w:val="none"/>
          <w:u w:val="single"/>
          <w:lang w:val="en-US" w:eastAsia="zh-CN"/>
        </w:rPr>
      </w:pPr>
      <w:bookmarkStart w:id="42" w:name="_Toc26626"/>
      <w:bookmarkStart w:id="43" w:name="_Toc491700004"/>
      <w:bookmarkStart w:id="44" w:name="_Toc13469"/>
      <w:r>
        <w:rPr>
          <w:rFonts w:hint="eastAsia" w:ascii="宋体" w:hAnsi="宋体"/>
          <w:color w:val="auto"/>
          <w:sz w:val="24"/>
          <w:szCs w:val="24"/>
          <w:highlight w:val="none"/>
        </w:rPr>
        <w:t>项目名称：</w:t>
      </w:r>
      <w:r>
        <w:rPr>
          <w:rFonts w:hint="eastAsia" w:ascii="宋体" w:hAnsi="宋体"/>
          <w:b w:val="0"/>
          <w:bCs/>
          <w:color w:val="auto"/>
          <w:sz w:val="24"/>
          <w:szCs w:val="24"/>
          <w:highlight w:val="none"/>
          <w:u w:val="single"/>
          <w:lang w:val="en-US" w:eastAsia="zh-CN"/>
        </w:rPr>
        <w:t xml:space="preserve"> 坐位体前屈测试仪、仰卧起坐测试仪、引体向上测试仪     </w:t>
      </w:r>
    </w:p>
    <w:p>
      <w:pPr>
        <w:pStyle w:val="2"/>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eastAsia="宋体" w:cs="Times New Roman"/>
          <w:color w:val="auto"/>
          <w:kern w:val="2"/>
          <w:sz w:val="24"/>
          <w:szCs w:val="24"/>
          <w:highlight w:val="none"/>
          <w:lang w:val="en-US" w:eastAsia="zh-CN" w:bidi="ar-SA"/>
        </w:rPr>
        <w:t>预算金额：</w:t>
      </w:r>
      <w:r>
        <w:rPr>
          <w:rFonts w:hint="eastAsia" w:ascii="宋体" w:hAnsi="宋体" w:eastAsia="宋体" w:cs="Times New Roman"/>
          <w:color w:val="auto"/>
          <w:kern w:val="2"/>
          <w:sz w:val="24"/>
          <w:szCs w:val="24"/>
          <w:highlight w:val="none"/>
          <w:u w:val="single"/>
          <w:lang w:val="en-US" w:eastAsia="zh-CN" w:bidi="ar-SA"/>
        </w:rPr>
        <w:t xml:space="preserve">  42000元                                             </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0" w:firstLineChars="200"/>
        <w:jc w:val="both"/>
        <w:textAlignment w:val="auto"/>
        <w:outlineLvl w:val="0"/>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kern w:val="2"/>
          <w:sz w:val="24"/>
          <w:szCs w:val="24"/>
          <w:highlight w:val="none"/>
          <w:lang w:val="en-US" w:eastAsia="zh-CN" w:bidi="ar-SA"/>
        </w:rPr>
        <w:t>采购需求</w:t>
      </w:r>
      <w:bookmarkEnd w:id="42"/>
      <w:bookmarkEnd w:id="43"/>
      <w:bookmarkEnd w:id="44"/>
      <w:r>
        <w:rPr>
          <w:rFonts w:hint="eastAsia" w:ascii="宋体" w:hAnsi="宋体" w:cs="Times New Roman"/>
          <w:color w:val="auto"/>
          <w:kern w:val="2"/>
          <w:sz w:val="24"/>
          <w:szCs w:val="24"/>
          <w:highlight w:val="none"/>
          <w:lang w:val="en-US" w:eastAsia="zh-CN" w:bidi="ar-SA"/>
        </w:rPr>
        <w:t>：</w:t>
      </w:r>
    </w:p>
    <w:tbl>
      <w:tblPr>
        <w:tblStyle w:val="17"/>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tblPrEx>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r>
              <w:rPr>
                <w:rFonts w:hint="eastAsia" w:ascii="宋体" w:hAnsi="宋体"/>
                <w:color w:val="auto"/>
                <w:highlight w:val="none"/>
              </w:rPr>
              <w:t>一</w:t>
            </w:r>
          </w:p>
        </w:tc>
        <w:tc>
          <w:tcPr>
            <w:tcW w:w="3379" w:type="dxa"/>
            <w:tcBorders>
              <w:top w:val="nil"/>
              <w:left w:val="nil"/>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auto"/>
                <w:highlight w:val="none"/>
                <w:lang w:eastAsia="zh-CN"/>
              </w:rPr>
            </w:pPr>
            <w:r>
              <w:rPr>
                <w:rFonts w:hint="eastAsia" w:ascii="宋体" w:hAnsi="宋体"/>
                <w:b w:val="0"/>
                <w:bCs/>
                <w:color w:val="auto"/>
                <w:sz w:val="24"/>
                <w:szCs w:val="24"/>
                <w:highlight w:val="none"/>
                <w:u w:val="single"/>
                <w:lang w:val="en-US" w:eastAsia="zh-CN"/>
              </w:rPr>
              <w:t>坐位体前屈测试仪</w:t>
            </w:r>
          </w:p>
        </w:tc>
        <w:tc>
          <w:tcPr>
            <w:tcW w:w="1554" w:type="dxa"/>
            <w:tcBorders>
              <w:top w:val="nil"/>
              <w:left w:val="nil"/>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auto"/>
                <w:highlight w:val="none"/>
                <w:lang w:eastAsia="zh-CN"/>
              </w:rPr>
            </w:pPr>
            <w:r>
              <w:rPr>
                <w:rFonts w:hint="eastAsia" w:ascii="宋体" w:hAnsi="宋体"/>
                <w:color w:val="auto"/>
                <w:highlight w:val="none"/>
                <w:lang w:val="en-US" w:eastAsia="zh-CN"/>
              </w:rPr>
              <w:t>1</w:t>
            </w:r>
          </w:p>
        </w:tc>
        <w:tc>
          <w:tcPr>
            <w:tcW w:w="1963" w:type="dxa"/>
            <w:tcBorders>
              <w:top w:val="nil"/>
              <w:left w:val="nil"/>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olor w:val="auto"/>
                <w:highlight w:val="none"/>
                <w:lang w:val="en-US" w:eastAsia="zh-CN"/>
              </w:rPr>
            </w:pPr>
            <w:r>
              <w:rPr>
                <w:rFonts w:hint="eastAsia" w:ascii="宋体" w:hAnsi="宋体"/>
                <w:color w:val="auto"/>
                <w:highlight w:val="none"/>
                <w:lang w:val="en-US" w:eastAsia="zh-CN"/>
              </w:rPr>
              <w:t>10000</w:t>
            </w:r>
          </w:p>
        </w:tc>
        <w:tc>
          <w:tcPr>
            <w:tcW w:w="2047" w:type="dxa"/>
            <w:vMerge w:val="restart"/>
            <w:tcBorders>
              <w:top w:val="nil"/>
              <w:left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r>
              <w:rPr>
                <w:rFonts w:hint="eastAsia" w:ascii="宋体" w:hAnsi="宋体"/>
                <w:color w:val="auto"/>
                <w:highlight w:val="none"/>
              </w:rPr>
              <w:t>详见询价文件第</w:t>
            </w:r>
            <w:r>
              <w:rPr>
                <w:rFonts w:hint="eastAsia" w:ascii="宋体" w:hAnsi="宋体"/>
                <w:color w:val="auto"/>
                <w:highlight w:val="none"/>
                <w:lang w:eastAsia="zh-CN"/>
              </w:rPr>
              <w:t>三</w:t>
            </w:r>
            <w:r>
              <w:rPr>
                <w:rFonts w:hint="eastAsia" w:ascii="宋体" w:hAnsi="宋体"/>
                <w:color w:val="auto"/>
                <w:highlight w:val="none"/>
              </w:rPr>
              <w:t>部分要求</w:t>
            </w:r>
          </w:p>
        </w:tc>
      </w:tr>
      <w:tr>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r>
              <w:rPr>
                <w:rFonts w:hint="eastAsia" w:ascii="宋体" w:hAnsi="宋体"/>
                <w:color w:val="auto"/>
                <w:highlight w:val="none"/>
                <w:lang w:val="en-US" w:eastAsia="zh-CN"/>
              </w:rPr>
              <w:t>二</w:t>
            </w:r>
          </w:p>
        </w:tc>
        <w:tc>
          <w:tcPr>
            <w:tcW w:w="3379" w:type="dxa"/>
            <w:tcBorders>
              <w:top w:val="nil"/>
              <w:left w:val="nil"/>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auto"/>
                <w:highlight w:val="none"/>
                <w:lang w:eastAsia="zh-CN"/>
              </w:rPr>
            </w:pPr>
            <w:r>
              <w:rPr>
                <w:rFonts w:hint="eastAsia" w:ascii="宋体" w:hAnsi="宋体"/>
                <w:b w:val="0"/>
                <w:bCs/>
                <w:color w:val="auto"/>
                <w:sz w:val="24"/>
                <w:szCs w:val="24"/>
                <w:highlight w:val="none"/>
                <w:u w:val="single"/>
                <w:lang w:val="en-US" w:eastAsia="zh-CN"/>
              </w:rPr>
              <w:t>仰卧起坐测试仪（腰带款）</w:t>
            </w:r>
          </w:p>
        </w:tc>
        <w:tc>
          <w:tcPr>
            <w:tcW w:w="1554" w:type="dxa"/>
            <w:tcBorders>
              <w:top w:val="nil"/>
              <w:left w:val="nil"/>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auto"/>
                <w:highlight w:val="none"/>
                <w:lang w:eastAsia="zh-CN"/>
              </w:rPr>
            </w:pPr>
            <w:r>
              <w:rPr>
                <w:rFonts w:hint="eastAsia" w:ascii="宋体" w:hAnsi="宋体"/>
                <w:color w:val="auto"/>
                <w:highlight w:val="none"/>
                <w:lang w:val="en-US" w:eastAsia="zh-CN"/>
              </w:rPr>
              <w:t>1</w:t>
            </w:r>
          </w:p>
        </w:tc>
        <w:tc>
          <w:tcPr>
            <w:tcW w:w="1963" w:type="dxa"/>
            <w:tcBorders>
              <w:top w:val="nil"/>
              <w:left w:val="nil"/>
              <w:bottom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olor w:val="auto"/>
                <w:highlight w:val="none"/>
                <w:lang w:val="en-US" w:eastAsia="zh-CN"/>
              </w:rPr>
            </w:pPr>
            <w:r>
              <w:rPr>
                <w:rFonts w:hint="eastAsia" w:ascii="宋体" w:hAnsi="宋体"/>
                <w:color w:val="auto"/>
                <w:highlight w:val="none"/>
                <w:lang w:val="en-US" w:eastAsia="zh-CN"/>
              </w:rPr>
              <w:t>10000</w:t>
            </w:r>
          </w:p>
        </w:tc>
        <w:tc>
          <w:tcPr>
            <w:tcW w:w="2047" w:type="dxa"/>
            <w:vMerge w:val="continue"/>
            <w:tcBorders>
              <w:left w:val="nil"/>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p>
        </w:tc>
      </w:tr>
      <w:tr>
        <w:tblPrEx>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r>
              <w:rPr>
                <w:rFonts w:hint="eastAsia" w:ascii="宋体" w:hAnsi="宋体"/>
                <w:color w:val="auto"/>
                <w:highlight w:val="none"/>
                <w:lang w:val="en-US" w:eastAsia="zh-CN"/>
              </w:rPr>
              <w:t>三</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auto"/>
                <w:highlight w:val="none"/>
                <w:lang w:eastAsia="zh-CN"/>
              </w:rPr>
            </w:pPr>
            <w:r>
              <w:rPr>
                <w:rFonts w:hint="eastAsia" w:ascii="宋体" w:hAnsi="宋体"/>
                <w:b w:val="0"/>
                <w:bCs/>
                <w:color w:val="auto"/>
                <w:sz w:val="24"/>
                <w:szCs w:val="24"/>
                <w:highlight w:val="none"/>
                <w:u w:val="single"/>
                <w:lang w:val="en-US" w:eastAsia="zh-CN"/>
              </w:rPr>
              <w:t>引体向上测试仪（腰带款）</w:t>
            </w: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eastAsia="宋体"/>
                <w:color w:val="auto"/>
                <w:highlight w:val="none"/>
                <w:lang w:eastAsia="zh-CN"/>
              </w:rPr>
            </w:pPr>
            <w:r>
              <w:rPr>
                <w:rFonts w:hint="eastAsia" w:ascii="宋体" w:hAnsi="宋体"/>
                <w:color w:val="auto"/>
                <w:highlight w:val="none"/>
                <w:lang w:val="en-US" w:eastAsia="zh-CN"/>
              </w:rPr>
              <w:t>1</w:t>
            </w: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default" w:ascii="宋体" w:hAnsi="宋体" w:eastAsia="宋体"/>
                <w:color w:val="auto"/>
                <w:highlight w:val="none"/>
                <w:lang w:val="en-US" w:eastAsia="zh-CN"/>
              </w:rPr>
            </w:pPr>
            <w:r>
              <w:rPr>
                <w:rFonts w:hint="eastAsia" w:ascii="宋体" w:hAnsi="宋体"/>
                <w:color w:val="auto"/>
                <w:highlight w:val="none"/>
                <w:lang w:val="en-US" w:eastAsia="zh-CN"/>
              </w:rPr>
              <w:t>22000</w:t>
            </w:r>
          </w:p>
        </w:tc>
        <w:tc>
          <w:tcPr>
            <w:tcW w:w="2047" w:type="dxa"/>
            <w:vMerge w:val="continue"/>
            <w:tcBorders>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auto"/>
                <w:highlight w:val="none"/>
              </w:rPr>
            </w:pPr>
          </w:p>
        </w:tc>
      </w:tr>
    </w:tbl>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注：本项目采购为一个完整合同包，报价供应商必须对该合同包内所有货物</w:t>
      </w:r>
      <w:r>
        <w:rPr>
          <w:rFonts w:hint="eastAsia" w:ascii="宋体" w:hAnsi="宋体"/>
          <w:color w:val="auto"/>
          <w:sz w:val="24"/>
          <w:szCs w:val="24"/>
          <w:highlight w:val="none"/>
          <w:lang w:eastAsia="zh-CN"/>
        </w:rPr>
        <w:t>报价</w:t>
      </w:r>
      <w:r>
        <w:rPr>
          <w:rFonts w:hint="eastAsia" w:ascii="宋体" w:hAnsi="宋体"/>
          <w:color w:val="auto"/>
          <w:sz w:val="24"/>
          <w:szCs w:val="24"/>
          <w:highlight w:val="none"/>
        </w:rPr>
        <w:t>时必须完整。评标与授标以合同包为单位。成交供应商不得转包他人，若发现转包，采购人有权终止协议,并由成交供应商承担相关责任。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shd w:val="clear" w:color="auto" w:fill="FFFFFF"/>
        </w:rPr>
        <w:t>本项目不接受联合体形式参与</w:t>
      </w:r>
      <w:r>
        <w:rPr>
          <w:rFonts w:hint="eastAsia" w:ascii="宋体" w:hAnsi="宋体" w:cs="宋体"/>
          <w:color w:val="auto"/>
          <w:kern w:val="0"/>
          <w:sz w:val="24"/>
          <w:szCs w:val="24"/>
          <w:highlight w:val="none"/>
          <w:shd w:val="clear" w:color="auto" w:fill="FFFFFF"/>
          <w:lang w:eastAsia="zh-CN"/>
        </w:rPr>
        <w:t>报价</w:t>
      </w:r>
      <w:r>
        <w:rPr>
          <w:rFonts w:hint="eastAsia" w:ascii="宋体" w:hAnsi="宋体" w:cs="宋体"/>
          <w:color w:val="auto"/>
          <w:kern w:val="0"/>
          <w:sz w:val="24"/>
          <w:szCs w:val="24"/>
          <w:highlight w:val="none"/>
          <w:shd w:val="clear" w:color="auto" w:fill="FFFFFF"/>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auto"/>
          <w:spacing w:val="0"/>
          <w:sz w:val="21"/>
          <w:szCs w:val="21"/>
          <w:shd w:val="clear" w:fill="FFFFFF"/>
          <w:lang w:eastAsia="zh-CN"/>
        </w:rPr>
      </w:pPr>
      <w:r>
        <w:rPr>
          <w:rFonts w:hint="eastAsia" w:ascii="宋体" w:hAnsi="宋体"/>
          <w:i w:val="0"/>
          <w:iCs w:val="0"/>
          <w:color w:val="auto"/>
          <w:sz w:val="24"/>
          <w:szCs w:val="24"/>
          <w:highlight w:val="none"/>
          <w:lang w:val="en-US" w:eastAsia="zh-CN"/>
        </w:rPr>
        <w:t>三</w:t>
      </w:r>
      <w:r>
        <w:rPr>
          <w:rFonts w:hint="eastAsia" w:ascii="宋体" w:hAnsi="宋体"/>
          <w:color w:val="auto"/>
          <w:sz w:val="24"/>
          <w:szCs w:val="24"/>
          <w:highlight w:val="none"/>
        </w:rPr>
        <w:t>、提交报价响应文件截止时间</w:t>
      </w:r>
      <w:r>
        <w:rPr>
          <w:rFonts w:hint="eastAsia" w:ascii="宋体" w:hAnsi="宋体"/>
          <w:color w:val="auto"/>
          <w:sz w:val="24"/>
          <w:szCs w:val="24"/>
          <w:highlight w:val="none"/>
          <w:u w:val="single"/>
          <w:lang w:val="en-US" w:eastAsia="zh-CN"/>
        </w:rPr>
        <w:t>2023</w:t>
      </w:r>
      <w:r>
        <w:rPr>
          <w:rFonts w:hint="eastAsia" w:ascii="宋体" w:hAnsi="宋体"/>
          <w:color w:val="auto"/>
          <w:sz w:val="24"/>
          <w:szCs w:val="24"/>
          <w:highlight w:val="none"/>
        </w:rPr>
        <w:t>年</w:t>
      </w:r>
      <w:r>
        <w:rPr>
          <w:rFonts w:hint="eastAsia" w:ascii="宋体" w:hAnsi="宋体"/>
          <w:color w:val="auto"/>
          <w:sz w:val="24"/>
          <w:szCs w:val="24"/>
          <w:highlight w:val="none"/>
          <w:u w:val="single"/>
          <w:lang w:val="en-US" w:eastAsia="zh-CN"/>
        </w:rPr>
        <w:t xml:space="preserve"> 12</w:t>
      </w:r>
      <w:r>
        <w:rPr>
          <w:rFonts w:hint="eastAsia" w:ascii="宋体" w:hAnsi="宋体"/>
          <w:color w:val="auto"/>
          <w:sz w:val="24"/>
          <w:szCs w:val="24"/>
          <w:highlight w:val="none"/>
        </w:rPr>
        <w:t>月</w:t>
      </w:r>
      <w:r>
        <w:rPr>
          <w:rFonts w:hint="eastAsia" w:ascii="宋体" w:hAnsi="宋体"/>
          <w:color w:val="auto"/>
          <w:sz w:val="24"/>
          <w:szCs w:val="24"/>
          <w:highlight w:val="none"/>
          <w:u w:val="single"/>
          <w:lang w:val="en-US" w:eastAsia="zh-CN"/>
        </w:rPr>
        <w:t xml:space="preserve"> 5 </w:t>
      </w:r>
      <w:r>
        <w:rPr>
          <w:rFonts w:hint="eastAsia" w:ascii="宋体" w:hAnsi="宋体"/>
          <w:color w:val="auto"/>
          <w:sz w:val="24"/>
          <w:szCs w:val="24"/>
          <w:highlight w:val="none"/>
        </w:rPr>
        <w:t>日</w:t>
      </w:r>
      <w:r>
        <w:rPr>
          <w:rFonts w:hint="eastAsia" w:ascii="宋体" w:hAnsi="宋体"/>
          <w:color w:val="auto"/>
          <w:sz w:val="24"/>
          <w:szCs w:val="24"/>
          <w:highlight w:val="none"/>
          <w:u w:val="single"/>
          <w:lang w:val="en-US" w:eastAsia="zh-CN"/>
        </w:rPr>
        <w:t xml:space="preserve">  18  </w:t>
      </w:r>
      <w:r>
        <w:rPr>
          <w:rFonts w:hint="eastAsia" w:ascii="宋体" w:hAnsi="宋体"/>
          <w:color w:val="auto"/>
          <w:sz w:val="24"/>
          <w:szCs w:val="24"/>
          <w:highlight w:val="none"/>
        </w:rPr>
        <w:t>时</w:t>
      </w:r>
      <w:r>
        <w:rPr>
          <w:rFonts w:ascii="宋体" w:hAnsi="宋体"/>
          <w:color w:val="auto"/>
          <w:sz w:val="24"/>
          <w:szCs w:val="24"/>
          <w:highlight w:val="none"/>
        </w:rPr>
        <w:t>(</w:t>
      </w:r>
      <w:r>
        <w:rPr>
          <w:rFonts w:hint="eastAsia" w:ascii="宋体" w:hAnsi="宋体"/>
          <w:color w:val="auto"/>
          <w:sz w:val="24"/>
          <w:szCs w:val="24"/>
          <w:highlight w:val="none"/>
        </w:rPr>
        <w:t>北京时间)。（从询价</w:t>
      </w:r>
      <w:r>
        <w:rPr>
          <w:rFonts w:hint="eastAsia" w:ascii="宋体" w:hAnsi="宋体"/>
          <w:color w:val="auto"/>
          <w:sz w:val="24"/>
          <w:szCs w:val="24"/>
          <w:highlight w:val="none"/>
          <w:lang w:eastAsia="zh-CN"/>
        </w:rPr>
        <w:t>公告发布</w:t>
      </w:r>
      <w:r>
        <w:rPr>
          <w:rFonts w:hint="eastAsia" w:ascii="宋体" w:hAnsi="宋体"/>
          <w:color w:val="auto"/>
          <w:sz w:val="24"/>
          <w:szCs w:val="24"/>
          <w:highlight w:val="none"/>
        </w:rPr>
        <w:t>之日起至供应商提交响应文件截止之日止不得少于3个工作日）</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lang w:val="en-US" w:eastAsia="zh-CN"/>
        </w:rPr>
        <w:t>四</w:t>
      </w:r>
      <w:r>
        <w:rPr>
          <w:rFonts w:hint="eastAsia" w:ascii="宋体" w:hAnsi="宋体"/>
          <w:color w:val="auto"/>
          <w:sz w:val="24"/>
          <w:szCs w:val="24"/>
          <w:highlight w:val="none"/>
        </w:rPr>
        <w:t>、</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时间：</w:t>
      </w:r>
      <w:r>
        <w:rPr>
          <w:rFonts w:hint="eastAsia" w:ascii="宋体" w:hAnsi="宋体"/>
          <w:color w:val="auto"/>
          <w:sz w:val="24"/>
          <w:szCs w:val="24"/>
          <w:highlight w:val="none"/>
          <w:u w:val="single"/>
          <w:lang w:val="en-US" w:eastAsia="zh-CN"/>
        </w:rPr>
        <w:t xml:space="preserve"> 2023 年 11 月 30 日 18 时</w:t>
      </w:r>
      <w:r>
        <w:rPr>
          <w:rFonts w:ascii="宋体" w:hAnsi="宋体"/>
          <w:color w:val="auto"/>
          <w:sz w:val="24"/>
          <w:szCs w:val="24"/>
          <w:highlight w:val="none"/>
        </w:rPr>
        <w:t>(</w:t>
      </w:r>
      <w:r>
        <w:rPr>
          <w:rFonts w:hint="eastAsia" w:ascii="宋体" w:hAnsi="宋体"/>
          <w:color w:val="auto"/>
          <w:sz w:val="24"/>
          <w:szCs w:val="24"/>
          <w:highlight w:val="none"/>
        </w:rPr>
        <w:t>北京时间)</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auto"/>
          <w:sz w:val="24"/>
          <w:szCs w:val="24"/>
          <w:highlight w:val="none"/>
          <w:u w:val="single"/>
          <w:lang w:val="en-US" w:eastAsia="zh-CN"/>
        </w:rPr>
      </w:pPr>
      <w:r>
        <w:rPr>
          <w:rFonts w:hint="eastAsia" w:ascii="宋体" w:hAnsi="宋体" w:cs="宋体"/>
          <w:color w:val="auto"/>
          <w:sz w:val="24"/>
          <w:szCs w:val="24"/>
          <w:highlight w:val="none"/>
          <w:lang w:val="en-US" w:eastAsia="zh-CN"/>
        </w:rPr>
        <w:t>五</w:t>
      </w:r>
      <w:r>
        <w:rPr>
          <w:rFonts w:hint="eastAsia" w:ascii="宋体" w:hAnsi="宋体"/>
          <w:color w:val="auto"/>
          <w:sz w:val="24"/>
          <w:szCs w:val="24"/>
          <w:highlight w:val="none"/>
        </w:rPr>
        <w:t>、报价响应文件递交及</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地点：</w:t>
      </w:r>
      <w:r>
        <w:rPr>
          <w:rFonts w:ascii="宋体" w:hAnsi="宋体" w:eastAsia="宋体" w:cs="宋体"/>
          <w:color w:val="auto"/>
          <w:sz w:val="24"/>
          <w:szCs w:val="24"/>
        </w:rPr>
        <w:t>泉州市丰泽区东海大街398号</w:t>
      </w:r>
      <w:r>
        <w:rPr>
          <w:rFonts w:hint="eastAsia" w:ascii="宋体" w:hAnsi="宋体"/>
          <w:i w:val="0"/>
          <w:iCs w:val="0"/>
          <w:color w:val="auto"/>
          <w:sz w:val="24"/>
          <w:szCs w:val="24"/>
          <w:highlight w:val="none"/>
          <w:u w:val="none"/>
          <w:lang w:val="en-US" w:eastAsia="zh-CN"/>
        </w:rPr>
        <w:t>泉州师范学院</w:t>
      </w:r>
      <w:r>
        <w:rPr>
          <w:rFonts w:hint="eastAsia" w:ascii="宋体" w:hAnsi="宋体"/>
          <w:i w:val="0"/>
          <w:iCs w:val="0"/>
          <w:color w:val="auto"/>
          <w:sz w:val="24"/>
          <w:szCs w:val="24"/>
          <w:highlight w:val="none"/>
          <w:u w:val="single"/>
          <w:lang w:val="en-US" w:eastAsia="zh-CN"/>
        </w:rPr>
        <w:t xml:space="preserve"> 陈伟利体育馆205办公室。</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szCs w:val="24"/>
          <w:highlight w:val="none"/>
        </w:rPr>
      </w:pPr>
      <w:r>
        <w:rPr>
          <w:rFonts w:hint="eastAsia" w:ascii="宋体" w:hAnsi="宋体" w:cs="宋体"/>
          <w:color w:val="auto"/>
          <w:sz w:val="24"/>
          <w:szCs w:val="24"/>
          <w:highlight w:val="none"/>
          <w:lang w:eastAsia="zh-CN"/>
        </w:rPr>
        <w:t>六</w:t>
      </w:r>
      <w:r>
        <w:rPr>
          <w:rFonts w:hint="eastAsia" w:ascii="宋体" w:hAnsi="宋体" w:cs="宋体"/>
          <w:b w:val="0"/>
          <w:bCs w:val="0"/>
          <w:color w:val="auto"/>
          <w:kern w:val="0"/>
          <w:sz w:val="24"/>
          <w:szCs w:val="24"/>
          <w:highlight w:val="none"/>
          <w:shd w:val="clear" w:color="auto" w:fill="FFFFFF"/>
          <w:lang w:eastAsia="zh-CN"/>
        </w:rPr>
        <w:t>、</w:t>
      </w:r>
      <w:r>
        <w:rPr>
          <w:rFonts w:hint="eastAsia" w:ascii="宋体" w:hAnsi="宋体"/>
          <w:color w:val="auto"/>
          <w:sz w:val="24"/>
          <w:szCs w:val="24"/>
          <w:highlight w:val="none"/>
        </w:rPr>
        <w:t>凡对本次招标有疑义的，请以信函、电话、传真或来人与我</w:t>
      </w:r>
      <w:r>
        <w:rPr>
          <w:rFonts w:hint="eastAsia" w:ascii="宋体" w:hAnsi="宋体"/>
          <w:color w:val="auto"/>
          <w:sz w:val="24"/>
          <w:szCs w:val="24"/>
          <w:highlight w:val="none"/>
          <w:lang w:val="en-US" w:eastAsia="zh-CN"/>
        </w:rPr>
        <w:t>校</w:t>
      </w:r>
      <w:r>
        <w:rPr>
          <w:rFonts w:hint="eastAsia" w:ascii="宋体" w:hAnsi="宋体"/>
          <w:color w:val="auto"/>
          <w:sz w:val="24"/>
          <w:szCs w:val="24"/>
          <w:highlight w:val="none"/>
        </w:rPr>
        <w:t>联系，联系人：</w:t>
      </w:r>
      <w:r>
        <w:rPr>
          <w:rFonts w:hint="eastAsia" w:ascii="宋体" w:hAnsi="宋体"/>
          <w:color w:val="auto"/>
          <w:sz w:val="24"/>
          <w:szCs w:val="24"/>
          <w:highlight w:val="none"/>
          <w:u w:val="single"/>
          <w:lang w:val="en-US" w:eastAsia="zh-CN"/>
        </w:rPr>
        <w:t xml:space="preserve"> 黄华南 </w:t>
      </w:r>
      <w:r>
        <w:rPr>
          <w:rFonts w:hint="eastAsia" w:ascii="宋体" w:hAnsi="宋体"/>
          <w:color w:val="auto"/>
          <w:sz w:val="24"/>
          <w:szCs w:val="24"/>
          <w:highlight w:val="none"/>
          <w:lang w:val="en-US" w:eastAsia="zh-CN"/>
        </w:rPr>
        <w:t>，</w:t>
      </w:r>
      <w:r>
        <w:rPr>
          <w:rFonts w:hint="eastAsia" w:ascii="宋体" w:hAnsi="宋体"/>
          <w:color w:val="auto"/>
          <w:sz w:val="24"/>
          <w:szCs w:val="24"/>
          <w:highlight w:val="none"/>
        </w:rPr>
        <w:t>联系电话：</w:t>
      </w:r>
      <w:r>
        <w:rPr>
          <w:rFonts w:hint="eastAsia" w:ascii="宋体" w:hAnsi="宋体" w:cs="宋体"/>
          <w:color w:val="auto"/>
          <w:sz w:val="24"/>
          <w:szCs w:val="24"/>
          <w:u w:val="single"/>
          <w:lang w:val="en-US" w:eastAsia="zh-CN"/>
        </w:rPr>
        <w:t xml:space="preserve"> 13808521989 </w:t>
      </w:r>
      <w:r>
        <w:rPr>
          <w:rFonts w:hint="eastAsia" w:ascii="宋体" w:hAnsi="宋体" w:cs="宋体"/>
          <w:color w:val="auto"/>
          <w:kern w:val="2"/>
          <w:sz w:val="24"/>
          <w:szCs w:val="24"/>
          <w:highlight w:val="none"/>
          <w:lang w:val="zh-CN" w:eastAsia="zh-CN" w:bidi="ar-SA"/>
        </w:rPr>
        <w:t>。</w:t>
      </w:r>
    </w:p>
    <w:p>
      <w:pPr>
        <w:pStyle w:val="16"/>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pPr>
        <w:spacing w:before="156" w:beforeLines="50" w:after="156" w:afterLines="50" w:line="440" w:lineRule="exact"/>
        <w:jc w:val="center"/>
        <w:outlineLvl w:val="0"/>
        <w:rPr>
          <w:rFonts w:hint="eastAsia" w:ascii="宋体" w:hAnsi="宋体"/>
          <w:b/>
          <w:color w:val="auto"/>
          <w:sz w:val="36"/>
          <w:szCs w:val="36"/>
          <w:highlight w:val="none"/>
        </w:rPr>
      </w:pPr>
      <w:r>
        <w:rPr>
          <w:rFonts w:hint="eastAsia" w:ascii="宋体" w:hAnsi="宋体"/>
          <w:b/>
          <w:color w:val="auto"/>
          <w:sz w:val="36"/>
          <w:szCs w:val="36"/>
          <w:highlight w:val="none"/>
        </w:rPr>
        <w:br w:type="page"/>
      </w:r>
      <w:bookmarkStart w:id="45" w:name="_Toc4126"/>
      <w:bookmarkStart w:id="46" w:name="_Toc7302"/>
      <w:r>
        <w:rPr>
          <w:rFonts w:hint="eastAsia" w:ascii="宋体" w:hAnsi="宋体"/>
          <w:b/>
          <w:color w:val="auto"/>
          <w:sz w:val="36"/>
          <w:szCs w:val="36"/>
          <w:highlight w:val="none"/>
          <w:lang w:eastAsia="zh-CN"/>
        </w:rPr>
        <w:t>第二部分</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报价供应商须知</w:t>
      </w:r>
      <w:bookmarkEnd w:id="45"/>
      <w:bookmarkEnd w:id="46"/>
    </w:p>
    <w:p>
      <w:pPr>
        <w:pStyle w:val="14"/>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7"/>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80"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pPr>
              <w:pStyle w:val="16"/>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i w:val="0"/>
                <w:iCs w:val="0"/>
                <w:color w:val="auto"/>
                <w:sz w:val="24"/>
                <w:szCs w:val="24"/>
                <w:highlight w:val="none"/>
                <w:u w:val="single"/>
                <w:lang w:val="en-US" w:eastAsia="zh-CN"/>
              </w:rPr>
            </w:pPr>
            <w:r>
              <w:rPr>
                <w:rFonts w:hint="eastAsia" w:ascii="宋体" w:hAnsi="宋体"/>
                <w:i w:val="0"/>
                <w:iCs w:val="0"/>
                <w:color w:val="auto"/>
                <w:sz w:val="24"/>
                <w:szCs w:val="24"/>
                <w:highlight w:val="none"/>
                <w:u w:val="single"/>
                <w:lang w:val="en-US" w:eastAsia="zh-CN"/>
              </w:rPr>
              <w:t>泉州师范学院体育学院</w:t>
            </w:r>
          </w:p>
          <w:p>
            <w:pPr>
              <w:pStyle w:val="16"/>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pPr>
              <w:spacing w:line="440" w:lineRule="exact"/>
              <w:rPr>
                <w:rFonts w:hint="eastAsia" w:ascii="宋体" w:hAnsi="宋体" w:eastAsia="宋体"/>
                <w:color w:val="auto"/>
                <w:sz w:val="24"/>
                <w:highlight w:val="none"/>
                <w:lang w:eastAsia="zh-CN"/>
              </w:rPr>
            </w:pPr>
            <w:r>
              <w:rPr>
                <w:rFonts w:hint="eastAsia" w:ascii="宋体" w:hAnsi="宋体"/>
                <w:b/>
                <w:bCs/>
                <w:color w:val="auto"/>
                <w:sz w:val="24"/>
                <w:highlight w:val="none"/>
                <w:lang w:eastAsia="zh-CN"/>
              </w:rPr>
              <w:t>询价</w:t>
            </w:r>
            <w:r>
              <w:rPr>
                <w:rFonts w:hint="eastAsia" w:ascii="宋体" w:hAnsi="宋体"/>
                <w:b/>
                <w:bCs/>
                <w:color w:val="auto"/>
                <w:sz w:val="24"/>
                <w:highlight w:val="none"/>
              </w:rPr>
              <w:t>保证金：</w:t>
            </w:r>
            <w:r>
              <w:rPr>
                <w:rFonts w:hint="eastAsia" w:ascii="宋体" w:hAnsi="宋体" w:cs="宋体"/>
                <w:color w:val="auto"/>
                <w:sz w:val="24"/>
                <w:szCs w:val="24"/>
                <w:highlight w:val="none"/>
                <w:lang w:eastAsia="zh-CN"/>
              </w:rPr>
              <w:t>本项目无须缴纳保证金。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4"/>
                <w:highlight w:val="none"/>
              </w:rPr>
            </w:pPr>
            <w:r>
              <w:rPr>
                <w:rFonts w:hint="eastAsia" w:ascii="宋体" w:hAnsi="宋体"/>
                <w:b/>
                <w:bCs/>
                <w:color w:val="auto"/>
                <w:sz w:val="24"/>
                <w:highlight w:val="none"/>
                <w:lang w:eastAsia="zh-CN"/>
              </w:rPr>
              <w:t>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rPr>
              <w:t>报价有效期：报价文件自评审之日起，报价有效期为90天。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报价供应商递交报价响应文件的份数：正本</w:t>
            </w:r>
            <w:r>
              <w:rPr>
                <w:rFonts w:hint="eastAsia" w:ascii="宋体" w:hAnsi="宋体"/>
                <w:b w:val="0"/>
                <w:bCs/>
                <w:color w:val="auto"/>
                <w:sz w:val="24"/>
                <w:highlight w:val="none"/>
                <w:u w:val="single"/>
                <w:lang w:val="en-US" w:eastAsia="zh-CN"/>
              </w:rPr>
              <w:t>1</w:t>
            </w:r>
            <w:r>
              <w:rPr>
                <w:rFonts w:hint="eastAsia" w:ascii="宋体" w:hAnsi="宋体"/>
                <w:b w:val="0"/>
                <w:bCs/>
                <w:color w:val="auto"/>
                <w:sz w:val="24"/>
                <w:highlight w:val="none"/>
              </w:rPr>
              <w:t>份、副本</w:t>
            </w:r>
            <w:r>
              <w:rPr>
                <w:rFonts w:hint="eastAsia" w:ascii="宋体" w:hAnsi="宋体"/>
                <w:b w:val="0"/>
                <w:bCs/>
                <w:color w:val="auto"/>
                <w:sz w:val="24"/>
                <w:highlight w:val="none"/>
                <w:u w:val="single"/>
                <w:lang w:val="en-US" w:eastAsia="zh-CN"/>
              </w:rPr>
              <w:t>3</w:t>
            </w:r>
            <w:r>
              <w:rPr>
                <w:rFonts w:hint="eastAsia" w:ascii="宋体" w:hAnsi="宋体"/>
                <w:b w:val="0"/>
                <w:bCs/>
                <w:color w:val="auto"/>
                <w:sz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auto"/>
                <w:sz w:val="24"/>
                <w:highlight w:val="none"/>
                <w:u w:val="single"/>
              </w:rPr>
              <w:t>最低评标价法</w:t>
            </w:r>
            <w:r>
              <w:rPr>
                <w:rFonts w:hint="eastAsia" w:ascii="宋体" w:hAnsi="宋体"/>
                <w:b/>
                <w:bCs w:val="0"/>
                <w:color w:val="auto"/>
                <w:sz w:val="24"/>
                <w:highlight w:val="none"/>
              </w:rPr>
              <w:t>。</w:t>
            </w:r>
          </w:p>
          <w:p>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color w:val="auto"/>
                <w:sz w:val="24"/>
              </w:rPr>
              <w:t>即在全部满足询价文件实质性要求前提下，依据统一的价格要素评定最低报价，以提出最低报价的报价供应商作为成交候选供应商或成交人。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候选人。当出现二个或二个以上相同报价，则抽签产生第一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成交供应商接到采购单位成交通知后</w:t>
            </w:r>
            <w:r>
              <w:rPr>
                <w:rFonts w:hint="eastAsia" w:ascii="宋体" w:hAnsi="宋体"/>
                <w:color w:val="auto"/>
                <w:sz w:val="24"/>
                <w:highlight w:val="none"/>
                <w:lang w:val="en-US" w:eastAsia="zh-CN"/>
              </w:rPr>
              <w:t>30</w:t>
            </w:r>
            <w:r>
              <w:rPr>
                <w:rFonts w:hint="eastAsia" w:ascii="宋体" w:hAnsi="宋体"/>
                <w:color w:val="auto"/>
                <w:sz w:val="24"/>
                <w:highlight w:val="none"/>
                <w:lang w:val="zh-CN"/>
              </w:rPr>
              <w:t>日内与采购人签订合同，逾期视为自动放弃中标资格，并将追究相关责任逾期按谈判后撤回成交处理。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符合专业条件的供应商或者对询价文件作实质性响应的供应商不足三家的；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pPr>
        <w:pStyle w:val="3"/>
        <w:spacing w:before="120" w:after="120" w:line="440" w:lineRule="exact"/>
        <w:jc w:val="both"/>
        <w:rPr>
          <w:rFonts w:hint="eastAsia" w:ascii="宋体" w:hAnsi="宋体" w:eastAsia="宋体"/>
          <w:color w:val="auto"/>
          <w:sz w:val="36"/>
          <w:szCs w:val="36"/>
          <w:highlight w:val="none"/>
          <w:lang w:val="en-US" w:eastAsia="zh-CN"/>
        </w:rPr>
      </w:pPr>
      <w:bookmarkStart w:id="47" w:name="_Toc4338"/>
      <w:bookmarkStart w:id="48" w:name="_Toc12454"/>
      <w:bookmarkStart w:id="49" w:name="_Toc5918"/>
    </w:p>
    <w:p>
      <w:pPr>
        <w:rPr>
          <w:rFonts w:hint="eastAsia"/>
          <w:color w:val="auto"/>
          <w:lang w:val="en-US" w:eastAsia="zh-CN"/>
        </w:rPr>
      </w:pPr>
    </w:p>
    <w:bookmarkEnd w:id="47"/>
    <w:bookmarkEnd w:id="48"/>
    <w:bookmarkEnd w:id="49"/>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bookmarkStart w:id="50" w:name="_Toc1931"/>
      <w:bookmarkStart w:id="51" w:name="_Toc34"/>
    </w:p>
    <w:p>
      <w:pPr>
        <w:rPr>
          <w:rFonts w:hint="eastAsia" w:ascii="宋体" w:hAnsi="宋体" w:eastAsia="宋体"/>
          <w:color w:val="auto"/>
          <w:sz w:val="24"/>
          <w:szCs w:val="24"/>
          <w:highlight w:val="none"/>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rPr>
          <w:rFonts w:hint="eastAsia"/>
          <w:color w:val="auto"/>
          <w:lang w:eastAsia="zh-CN"/>
        </w:rPr>
      </w:pPr>
    </w:p>
    <w:p>
      <w:pPr>
        <w:pStyle w:val="2"/>
        <w:rPr>
          <w:rFonts w:hint="eastAsia"/>
          <w:color w:val="auto"/>
          <w:lang w:eastAsia="zh-CN"/>
        </w:rPr>
      </w:pPr>
    </w:p>
    <w:p>
      <w:pPr>
        <w:pStyle w:val="3"/>
        <w:numPr>
          <w:ilvl w:val="0"/>
          <w:numId w:val="1"/>
        </w:numPr>
        <w:spacing w:before="120" w:after="120" w:line="440" w:lineRule="exact"/>
        <w:jc w:val="center"/>
        <w:rPr>
          <w:rFonts w:hint="eastAsia" w:ascii="宋体" w:hAnsi="宋体" w:eastAsia="宋体"/>
          <w:color w:val="auto"/>
          <w:sz w:val="36"/>
          <w:szCs w:val="36"/>
          <w:highlight w:val="none"/>
        </w:rPr>
      </w:pPr>
      <w:r>
        <w:rPr>
          <w:rFonts w:hint="eastAsia" w:ascii="宋体" w:hAnsi="宋体" w:eastAsia="宋体"/>
          <w:color w:val="auto"/>
          <w:sz w:val="36"/>
          <w:szCs w:val="36"/>
          <w:highlight w:val="none"/>
        </w:rPr>
        <w:t xml:space="preserve">   </w:t>
      </w:r>
      <w:r>
        <w:rPr>
          <w:rFonts w:hint="eastAsia" w:ascii="宋体" w:hAnsi="宋体" w:eastAsia="宋体"/>
          <w:color w:val="auto"/>
          <w:sz w:val="36"/>
          <w:szCs w:val="36"/>
          <w:highlight w:val="none"/>
          <w:lang w:eastAsia="zh-CN"/>
        </w:rPr>
        <w:t>询价内容</w:t>
      </w:r>
      <w:r>
        <w:rPr>
          <w:rFonts w:hint="eastAsia" w:ascii="宋体" w:hAnsi="宋体" w:eastAsia="宋体"/>
          <w:color w:val="auto"/>
          <w:sz w:val="36"/>
          <w:szCs w:val="36"/>
          <w:highlight w:val="none"/>
        </w:rPr>
        <w:t>及要求</w:t>
      </w:r>
    </w:p>
    <w:p>
      <w:pPr>
        <w:numPr>
          <w:ilvl w:val="0"/>
          <w:numId w:val="0"/>
        </w:numPr>
        <w:spacing w:line="440" w:lineRule="exact"/>
        <w:rPr>
          <w:rFonts w:hint="eastAsia" w:ascii="宋体" w:hAnsi="宋体"/>
          <w:b/>
          <w:color w:val="auto"/>
          <w:kern w:val="0"/>
          <w:sz w:val="24"/>
          <w:lang w:val="en-US" w:eastAsia="zh-CN"/>
        </w:rPr>
      </w:pPr>
      <w:r>
        <w:rPr>
          <w:rFonts w:hint="eastAsia" w:ascii="宋体" w:hAnsi="宋体"/>
          <w:b/>
          <w:color w:val="auto"/>
          <w:kern w:val="0"/>
          <w:sz w:val="24"/>
          <w:lang w:val="en-US" w:eastAsia="zh-CN"/>
        </w:rPr>
        <w:t>一、基本技术参数及要求</w:t>
      </w:r>
    </w:p>
    <w:p>
      <w:pPr>
        <w:numPr>
          <w:numId w:val="0"/>
        </w:numPr>
        <w:rPr>
          <w:rFonts w:hint="eastAsia"/>
          <w:lang w:eastAsia="zh-CN"/>
        </w:rPr>
      </w:pPr>
      <w:bookmarkStart w:id="102" w:name="_GoBack"/>
      <w:bookmarkEnd w:id="102"/>
    </w:p>
    <w:tbl>
      <w:tblPr>
        <w:tblStyle w:val="17"/>
        <w:tblpPr w:leftFromText="180" w:rightFromText="180" w:vertAnchor="text" w:horzAnchor="page" w:tblpX="360" w:tblpY="850"/>
        <w:tblOverlap w:val="never"/>
        <w:tblW w:w="114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1"/>
        <w:gridCol w:w="2154"/>
        <w:gridCol w:w="82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1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snapToGrid/>
              <w:spacing w:line="300" w:lineRule="exact"/>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21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snapToGrid/>
              <w:spacing w:line="300" w:lineRule="exact"/>
              <w:jc w:val="center"/>
              <w:textAlignment w:val="center"/>
              <w:rPr>
                <w:rFonts w:ascii="Arial" w:hAnsi="Arial" w:cs="Arial"/>
                <w:i w:val="0"/>
                <w:iCs w:val="0"/>
                <w:color w:val="000000"/>
                <w:sz w:val="28"/>
                <w:szCs w:val="28"/>
                <w:u w:val="none"/>
              </w:rPr>
            </w:pPr>
            <w:r>
              <w:rPr>
                <w:rFonts w:hint="eastAsia" w:ascii="Arial" w:hAnsi="Arial" w:cs="Arial"/>
                <w:i w:val="0"/>
                <w:iCs w:val="0"/>
                <w:color w:val="000000"/>
                <w:kern w:val="0"/>
                <w:sz w:val="28"/>
                <w:szCs w:val="28"/>
                <w:u w:val="none"/>
                <w:lang w:val="en-US" w:eastAsia="zh-CN" w:bidi="ar"/>
              </w:rPr>
              <w:t>设备</w:t>
            </w:r>
            <w:r>
              <w:rPr>
                <w:rFonts w:hint="default" w:ascii="Arial" w:hAnsi="Arial" w:eastAsia="宋体" w:cs="Arial"/>
                <w:i w:val="0"/>
                <w:iCs w:val="0"/>
                <w:color w:val="000000"/>
                <w:kern w:val="0"/>
                <w:sz w:val="28"/>
                <w:szCs w:val="28"/>
                <w:u w:val="none"/>
                <w:lang w:val="en-US" w:eastAsia="zh-CN" w:bidi="ar"/>
              </w:rPr>
              <w:t>名称</w:t>
            </w:r>
          </w:p>
        </w:tc>
        <w:tc>
          <w:tcPr>
            <w:tcW w:w="82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snapToGrid/>
              <w:spacing w:line="300" w:lineRule="exact"/>
              <w:jc w:val="center"/>
              <w:textAlignment w:val="center"/>
              <w:rPr>
                <w:rFonts w:hint="default" w:ascii="Arial" w:hAnsi="Arial" w:cs="Arial"/>
                <w:i w:val="0"/>
                <w:iCs w:val="0"/>
                <w:color w:val="000000"/>
                <w:sz w:val="28"/>
                <w:szCs w:val="28"/>
                <w:u w:val="none"/>
              </w:rPr>
            </w:pPr>
            <w:r>
              <w:rPr>
                <w:rFonts w:hint="default" w:ascii="Arial" w:hAnsi="Arial" w:eastAsia="宋体" w:cs="Arial"/>
                <w:i w:val="0"/>
                <w:iCs w:val="0"/>
                <w:color w:val="000000"/>
                <w:kern w:val="0"/>
                <w:sz w:val="28"/>
                <w:szCs w:val="28"/>
                <w:u w:val="none"/>
                <w:lang w:val="en-US" w:eastAsia="zh-CN" w:bidi="ar"/>
              </w:rPr>
              <w:t>型号规格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4" w:hRule="atLeast"/>
        </w:trPr>
        <w:tc>
          <w:tcPr>
            <w:tcW w:w="1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adjustRightInd/>
              <w:snapToGrid/>
              <w:spacing w:line="280" w:lineRule="exact"/>
              <w:jc w:val="center"/>
              <w:rPr>
                <w:rFonts w:hint="default" w:ascii="Arial" w:hAnsi="Arial" w:eastAsia="宋体" w:cs="Arial"/>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1</w:t>
            </w:r>
          </w:p>
        </w:tc>
        <w:tc>
          <w:tcPr>
            <w:tcW w:w="21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坐位体前屈测试仪</w:t>
            </w:r>
          </w:p>
        </w:tc>
        <w:tc>
          <w:tcPr>
            <w:tcW w:w="82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主机：</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▲1.采用双操作系统，人机交互使用安卓操作系统，数据采集、存储、传输使用专用内置操作系统，充分保证数据安全。 可监控主机电量及与外设通信状态，主机连网后， 自动校对时间和日期。</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2.主机采用不小于 10 吋彩色液晶触控屏，采用电容式触摸按键，支持手套触摸操作。采用宫格式设计，界面友好易操作。 实时显示测试者的学号和成绩、照片等测试信息。</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▲3.主机具有人脸识别和识别学生信息功能，支持 1：1 和 1：N 多功能人脸识别功能，主机预留 USB 接口，可连接电脑导 入测试者信息（含姓名、性别、照片、学校、班级）有效防止代考作弊，数据传输采用集中上传和实时上传两种方式。</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▲4.主机采用内置式天线，配置 Type-A 型和 Type-B 型 USB 接口，可满足电脑、U 盘、激光打印机、高清摄像头等产品的 连接需求，可支持多种存储方式，并保证数据在被误删除以后能够直接恢复，主机可以保存十年以上的测试数据。</w:t>
            </w:r>
          </w:p>
          <w:p>
            <w:pPr>
              <w:pStyle w:val="2"/>
              <w:keepNext w:val="0"/>
              <w:keepLines w:val="0"/>
              <w:pageBreakBefore w:val="0"/>
              <w:widowControl/>
              <w:kinsoku/>
              <w:wordWrap/>
              <w:overflowPunct/>
              <w:topLinePunct w:val="0"/>
              <w:bidi w:val="0"/>
              <w:adjustRightInd/>
              <w:snapToGrid/>
              <w:spacing w:line="280" w:lineRule="exact"/>
              <w:jc w:val="left"/>
              <w:rPr>
                <w:rFonts w:hint="default"/>
                <w:lang w:val="en-US" w:eastAsia="zh-CN"/>
              </w:rPr>
            </w:pPr>
            <w:r>
              <w:rPr>
                <w:spacing w:val="7"/>
              </w:rPr>
              <w:t>▲5.主机与外设采用无线连接；</w:t>
            </w:r>
            <w:r>
              <w:rPr>
                <w:spacing w:val="-56"/>
              </w:rPr>
              <w:t xml:space="preserve"> </w:t>
            </w:r>
            <w:r>
              <w:rPr>
                <w:spacing w:val="7"/>
              </w:rPr>
              <w:t>内置高容量锂电池，连续工作</w:t>
            </w:r>
            <w:r>
              <w:rPr>
                <w:spacing w:val="-23"/>
              </w:rPr>
              <w:t xml:space="preserve"> </w:t>
            </w:r>
            <w:r>
              <w:rPr>
                <w:spacing w:val="7"/>
              </w:rPr>
              <w:t>10</w:t>
            </w:r>
            <w:r>
              <w:rPr>
                <w:spacing w:val="-32"/>
              </w:rPr>
              <w:t xml:space="preserve"> </w:t>
            </w:r>
            <w:r>
              <w:rPr>
                <w:spacing w:val="7"/>
              </w:rPr>
              <w:t>小时以上，全程</w:t>
            </w:r>
            <w:r>
              <w:rPr>
                <w:spacing w:val="6"/>
              </w:rPr>
              <w:t>低压测试。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4" w:hRule="atLeast"/>
        </w:trPr>
        <w:tc>
          <w:tcPr>
            <w:tcW w:w="1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adjustRightInd/>
              <w:snapToGrid/>
              <w:spacing w:line="280" w:lineRule="exact"/>
              <w:jc w:val="center"/>
              <w:rPr>
                <w:rFonts w:hint="default" w:ascii="Arial" w:hAnsi="Arial" w:eastAsia="宋体" w:cs="Arial"/>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2</w:t>
            </w:r>
          </w:p>
        </w:tc>
        <w:tc>
          <w:tcPr>
            <w:tcW w:w="21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Calibri" w:hAnsi="Calibri" w:eastAsia="宋体"/>
                <w:spacing w:val="0"/>
                <w:sz w:val="21"/>
              </w:rPr>
            </w:pPr>
            <w:r>
              <w:rPr>
                <w:rFonts w:hint="default" w:ascii="Calibri" w:hAnsi="Calibri" w:eastAsia="宋体"/>
                <w:spacing w:val="0"/>
                <w:sz w:val="21"/>
              </w:rPr>
              <w:t>仰卧起坐测试仪</w:t>
            </w:r>
          </w:p>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spacing w:val="0"/>
                <w:sz w:val="21"/>
              </w:rPr>
              <w:t>（腰带款）</w:t>
            </w:r>
          </w:p>
        </w:tc>
        <w:tc>
          <w:tcPr>
            <w:tcW w:w="82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主机：</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▲1.采用双操作系统，人机交互使用安卓操作系统，数据采集、存储、传输使用专用内置操作系统，充分保证数据安全。 可监控主机电量及与外设通信状态，主机连网后， 自动校对时间和日期。</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2.主机采用不小于 10 吋彩色液晶触控屏，采用电容式触摸按键，支持手套触摸操作。采用宫格式设计，界面友好易操作。 实时显示测试者的学号和成绩、照片等测试信息。</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▲3.主机具有人脸识别和识别学生信息功能，支持 1：1 和 1：N 多功能人脸识别功能，主机预留 USB 接口，可连接电脑导 入测试者信息（含姓名、性别、照片、学校、班级）有效防止代考作弊，数据传输采用集中上传和实时上传两种方式。</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▲4.主机采用内置式天线，配置 Type-A 型和 Type-B 型 USB 接口，可满足电脑、U 盘、激光打印机、高清摄像头等产品的 连接需求，可支持多种存储方式，并保证数据在被误删除以后能够直接恢复，主机可以保存十年以上的测试数据。</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▲5.主机与外设采用无线连接； 内置高容量锂电池，连续工作 10 小时以上，全程低压测试。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6" w:hRule="atLeast"/>
        </w:trPr>
        <w:tc>
          <w:tcPr>
            <w:tcW w:w="1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adjustRightInd/>
              <w:snapToGrid/>
              <w:spacing w:line="280" w:lineRule="exact"/>
              <w:jc w:val="center"/>
              <w:rPr>
                <w:rFonts w:hint="default" w:ascii="Arial" w:hAnsi="Arial" w:eastAsia="宋体" w:cs="Arial"/>
                <w:i w:val="0"/>
                <w:iCs w:val="0"/>
                <w:color w:val="000000"/>
                <w:sz w:val="24"/>
                <w:szCs w:val="24"/>
                <w:u w:val="none"/>
                <w:lang w:val="en-US" w:eastAsia="zh-CN"/>
              </w:rPr>
            </w:pPr>
            <w:r>
              <w:rPr>
                <w:rFonts w:hint="eastAsia" w:ascii="Arial" w:hAnsi="Arial" w:cs="Arial"/>
                <w:i w:val="0"/>
                <w:iCs w:val="0"/>
                <w:color w:val="000000"/>
                <w:sz w:val="24"/>
                <w:szCs w:val="24"/>
                <w:u w:val="none"/>
                <w:lang w:val="en-US" w:eastAsia="zh-CN"/>
              </w:rPr>
              <w:t>3</w:t>
            </w:r>
          </w:p>
        </w:tc>
        <w:tc>
          <w:tcPr>
            <w:tcW w:w="215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引体向上测试仪</w:t>
            </w:r>
          </w:p>
          <w:p>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（腰带款）</w:t>
            </w:r>
          </w:p>
        </w:tc>
        <w:tc>
          <w:tcPr>
            <w:tcW w:w="82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主机：</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▲1.采用双操作系统，人机交互使用安卓操作系统，数据采集、存储、传输使用专用内置操作系统，充分保证数据安全。 可监控主机电量及与外设通信状态，主机连网后， 自动校对时间和日期。</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2.主机采用不小于 10 吋彩色液晶触控屏，采用电容式触摸按键，支持手套触摸操作。采用宫格式设计，界面友好易操作。 实时显示测试者的学号和成绩、照片等测试信息。</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▲3.主机具有人脸识别和识别学生信息功能，支持 1：1 和 1：N 多功能人脸识别功能，主机预留 USB 接口，可连接电脑导 入测试者信息（含姓名、性别、照片、学校、班级）有效防止代考作弊，数据传输采用集中上传和实时上传两种方式。</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▲4.主机采用内置式天线，配置 Type-A 型和 Type-B 型 USB 接口，可满足电脑、U 盘、激光打印机、高清摄像头等产品的 连接需求，可支持多种存储方式，并保证数据在被误删除以后能够直接恢复，主机可以保存十年以上的测试数据。</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▲5.主机与外设采用无线连接； 内置高容量锂电池，连续工作 10 小时以上，全程低压测试。</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外设：</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▲1.外设采用腰带式感应器和杠上感应器相结合，精确判断标准动作的次数，并防止作弊。</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2.外设与主机之间采用 2.4G 无线传输，内置天线。</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3.外设内置高容量可充电锂电池，连续工作 10 小时以上。</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▲技术参数</w:t>
            </w:r>
          </w:p>
          <w:p>
            <w:pPr>
              <w:keepNext w:val="0"/>
              <w:keepLines w:val="0"/>
              <w:pageBreakBefore w:val="0"/>
              <w:widowControl/>
              <w:suppressLineNumbers w:val="0"/>
              <w:kinsoku/>
              <w:wordWrap/>
              <w:overflowPunct/>
              <w:topLinePunct w:val="0"/>
              <w:bidi w:val="0"/>
              <w:adjustRightInd/>
              <w:snapToGrid/>
              <w:spacing w:line="280" w:lineRule="exact"/>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测量范围：0～9999 次   分度值：1 次   误差：0 次</w:t>
            </w:r>
          </w:p>
        </w:tc>
      </w:tr>
    </w:tbl>
    <w:p>
      <w:pPr>
        <w:numPr>
          <w:ilvl w:val="0"/>
          <w:numId w:val="0"/>
        </w:numPr>
        <w:spacing w:line="440" w:lineRule="exact"/>
        <w:rPr>
          <w:rFonts w:hint="eastAsia"/>
          <w:color w:val="auto"/>
          <w:sz w:val="24"/>
          <w:lang w:val="en-US" w:eastAsia="zh-CN"/>
        </w:rPr>
      </w:pPr>
      <w:r>
        <w:rPr>
          <w:rFonts w:hint="eastAsia"/>
          <w:color w:val="auto"/>
          <w:sz w:val="24"/>
          <w:lang w:val="en-US" w:eastAsia="zh-CN"/>
        </w:rPr>
        <w:t xml:space="preserve">   </w:t>
      </w:r>
    </w:p>
    <w:p>
      <w:pPr>
        <w:numPr>
          <w:ilvl w:val="0"/>
          <w:numId w:val="0"/>
        </w:numPr>
        <w:spacing w:line="440" w:lineRule="exact"/>
        <w:rPr>
          <w:rFonts w:hint="eastAsia"/>
          <w:color w:val="auto"/>
          <w:sz w:val="24"/>
          <w:lang w:val="en-US" w:eastAsia="zh-CN"/>
        </w:rPr>
      </w:pPr>
    </w:p>
    <w:p>
      <w:pPr>
        <w:spacing w:line="440" w:lineRule="exact"/>
        <w:rPr>
          <w:rFonts w:hint="eastAsia" w:ascii="宋体" w:hAnsi="宋体" w:eastAsia="宋体"/>
          <w:b/>
          <w:bCs/>
          <w:color w:val="auto"/>
          <w:sz w:val="24"/>
          <w:lang w:val="en-US" w:eastAsia="zh-CN"/>
        </w:rPr>
      </w:pPr>
      <w:bookmarkStart w:id="52" w:name="_Toc358109805"/>
      <w:bookmarkStart w:id="53" w:name="_Toc394319916"/>
      <w:bookmarkStart w:id="54" w:name="_Toc416379639"/>
      <w:bookmarkStart w:id="55" w:name="_Toc57451666"/>
      <w:bookmarkStart w:id="56" w:name="_Toc478753855"/>
      <w:bookmarkStart w:id="57" w:name="_Toc425276504"/>
      <w:r>
        <w:rPr>
          <w:rFonts w:hint="eastAsia" w:ascii="宋体" w:hAnsi="宋体"/>
          <w:b/>
          <w:bCs/>
          <w:color w:val="auto"/>
          <w:sz w:val="24"/>
          <w:lang w:val="en-US" w:eastAsia="zh-CN"/>
        </w:rPr>
        <w:t>二</w:t>
      </w:r>
      <w:r>
        <w:rPr>
          <w:rFonts w:hint="eastAsia" w:ascii="宋体" w:hAnsi="宋体"/>
          <w:b/>
          <w:bCs/>
          <w:color w:val="auto"/>
          <w:sz w:val="24"/>
        </w:rPr>
        <w:t>、</w:t>
      </w:r>
      <w:r>
        <w:rPr>
          <w:rFonts w:hint="eastAsia" w:ascii="宋体" w:hAnsi="宋体"/>
          <w:b/>
          <w:bCs/>
          <w:color w:val="auto"/>
          <w:sz w:val="24"/>
          <w:lang w:eastAsia="zh-CN"/>
        </w:rPr>
        <w:t>项目验收</w:t>
      </w:r>
    </w:p>
    <w:bookmarkEnd w:id="52"/>
    <w:bookmarkEnd w:id="53"/>
    <w:p>
      <w:pPr>
        <w:spacing w:line="440" w:lineRule="exact"/>
        <w:ind w:firstLine="480" w:firstLineChars="200"/>
        <w:rPr>
          <w:rFonts w:hint="eastAsia" w:hAnsi="宋体" w:eastAsia="宋体"/>
          <w:color w:val="auto"/>
          <w:sz w:val="24"/>
          <w:lang w:val="en-US" w:eastAsia="zh-CN"/>
        </w:rPr>
      </w:pPr>
      <w:bookmarkStart w:id="58" w:name="_Toc394319918"/>
      <w:bookmarkStart w:id="59" w:name="_Toc285393068"/>
      <w:bookmarkStart w:id="60" w:name="_Toc430269118"/>
      <w:bookmarkStart w:id="61" w:name="_Toc491700052"/>
      <w:bookmarkStart w:id="62" w:name="_Toc430269287"/>
      <w:bookmarkStart w:id="63" w:name="_Toc358109807"/>
      <w:bookmarkStart w:id="64" w:name="_Toc394319917"/>
      <w:bookmarkStart w:id="65" w:name="_Toc358109806"/>
      <w:r>
        <w:rPr>
          <w:rFonts w:hint="eastAsia" w:hAnsi="宋体" w:eastAsia="宋体"/>
          <w:color w:val="auto"/>
          <w:sz w:val="24"/>
          <w:lang w:val="en-US" w:eastAsia="zh-CN"/>
        </w:rPr>
        <w:t>（一）验收标准</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（二）验收程序</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出厂检验：投标人需提供货物、安装材料、工具和文件的发货清单和计划，发货计划应经采购人认可后实施。投标人在设备出厂前，应按设备技术标准规定的检验项目和检验方法进行全面检验，结果必须符合验收标准的要求。投标人应随同货物出具供货证明、产地证书、出厂检验报告和设备质量合格证等，并负责将产品送达采购人指定交货地点。</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初步验收：货物到达交货地点后30天内完成。采购人（或采购人授权单位）在设备（含软件）到货后，将按合同规定对所交货物进行清点、核对和商检，对货物基本数量与质量进行初步验收（但不作为最终合格的保证），该验收应达到合同规定的要求。初步验收不合格的，采购人有权选择退或换货处理：选择换货处理的，投标人需在收到换货通知日起30天内交付合格的新品，逾期未处理的，将予以退货，由此产生的费用和采购人的损失，由投标人承担；选择退货处理的，投标人需在收到退货通知之日起10天内将货物自行运回，如逾期投标人未退回货物，采购人有权将货物退回投标人法定地址，由此产生的一切费用由投标人承担。</w:t>
      </w:r>
    </w:p>
    <w:p>
      <w:pPr>
        <w:spacing w:line="440" w:lineRule="exact"/>
        <w:ind w:firstLine="480" w:firstLineChars="200"/>
        <w:rPr>
          <w:rFonts w:hint="eastAsia" w:hAnsi="宋体"/>
          <w:b/>
          <w:bCs/>
          <w:color w:val="auto"/>
          <w:sz w:val="24"/>
          <w:lang w:val="en-US" w:eastAsia="zh-CN"/>
        </w:rPr>
      </w:pPr>
      <w:r>
        <w:rPr>
          <w:rFonts w:hint="eastAsia" w:hAnsi="宋体" w:eastAsia="宋体"/>
          <w:color w:val="auto"/>
          <w:sz w:val="24"/>
          <w:lang w:val="en-US" w:eastAsia="zh-CN"/>
        </w:rPr>
        <w:t>3、最终验收：设备在安装地安装、调试与试运行无问题之后30天内完成最终验收（因投标人原因导致无法验收的情况除外）。项目具备验收条件后，投标人应向采购人提出验收请求并提供完整的项目交接资料及交接报告。采购人收到验收请求后组织验收，验收合格后，签发验收单；验收不合格，采购人有权选择通知整改或退换货处理：①选择通知整改处理的，投标人需在收到整改通知日起30天内完成整改，逾期未处理，将按退货处理，由此产生的费用和采购人的损失，由投标人承担；②选择换货处理的，投标人需在收到换货通知日起30天内交付合格的新品，逾期未处理，将按退货处理，由此产生的费用和采购人的损失，由投标人承担；③选择退货处理的，投标人需在收到退货通知之日起10天内将货物自行运回，如逾期投标人未退回货物，采购人有权将货物退回投标人法定地址，由此产生的一切费用由投标人承担。</w:t>
      </w:r>
    </w:p>
    <w:p>
      <w:pPr>
        <w:spacing w:line="440" w:lineRule="exact"/>
        <w:rPr>
          <w:rFonts w:hint="eastAsia" w:hAnsi="宋体"/>
          <w:b/>
          <w:bCs/>
          <w:color w:val="auto"/>
          <w:sz w:val="24"/>
        </w:rPr>
      </w:pPr>
      <w:r>
        <w:rPr>
          <w:rFonts w:hint="eastAsia" w:hAnsi="宋体"/>
          <w:b/>
          <w:bCs/>
          <w:color w:val="auto"/>
          <w:sz w:val="24"/>
          <w:lang w:val="en-US" w:eastAsia="zh-CN"/>
        </w:rPr>
        <w:t>三</w:t>
      </w:r>
      <w:r>
        <w:rPr>
          <w:rFonts w:hAnsi="宋体"/>
          <w:b/>
          <w:bCs/>
          <w:color w:val="auto"/>
          <w:sz w:val="24"/>
        </w:rPr>
        <w:t>、报价</w:t>
      </w:r>
      <w:r>
        <w:rPr>
          <w:rFonts w:hint="eastAsia" w:hAnsi="宋体"/>
          <w:b/>
          <w:bCs/>
          <w:color w:val="auto"/>
          <w:sz w:val="24"/>
        </w:rPr>
        <w:t>要求</w:t>
      </w:r>
    </w:p>
    <w:bookmarkEnd w:id="58"/>
    <w:bookmarkEnd w:id="59"/>
    <w:bookmarkEnd w:id="60"/>
    <w:bookmarkEnd w:id="61"/>
    <w:bookmarkEnd w:id="62"/>
    <w:bookmarkEnd w:id="63"/>
    <w:p>
      <w:pPr>
        <w:spacing w:line="440" w:lineRule="exact"/>
        <w:ind w:firstLine="480" w:firstLineChars="200"/>
        <w:rPr>
          <w:rFonts w:hint="eastAsia" w:hAnsi="宋体"/>
          <w:b/>
          <w:bCs/>
          <w:color w:val="auto"/>
          <w:sz w:val="24"/>
        </w:rPr>
      </w:pPr>
      <w:bookmarkStart w:id="66" w:name="_Toc491700053"/>
      <w:r>
        <w:rPr>
          <w:rFonts w:hAnsi="宋体"/>
          <w:color w:val="auto"/>
          <w:sz w:val="24"/>
        </w:rPr>
        <w:t>1、</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bCs/>
          <w:color w:val="auto"/>
          <w:kern w:val="0"/>
          <w:sz w:val="24"/>
        </w:rPr>
        <w:t>、</w:t>
      </w:r>
      <w:r>
        <w:rPr>
          <w:rFonts w:ascii="宋体" w:hAnsi="宋体"/>
          <w:color w:val="auto"/>
          <w:sz w:val="24"/>
        </w:rPr>
        <w:t>各供应商报价时应综合考虑日后属政策性调整、各种材料市场价格的浮动等因素造成的货物价格变动，上述价格变动不予调整。</w:t>
      </w:r>
    </w:p>
    <w:p>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pPr>
        <w:keepNext w:val="0"/>
        <w:keepLines w:val="0"/>
        <w:pageBreakBefore w:val="0"/>
        <w:kinsoku/>
        <w:wordWrap/>
        <w:overflowPunct/>
        <w:topLinePunct w:val="0"/>
        <w:autoSpaceDE/>
        <w:autoSpaceDN/>
        <w:bidi w:val="0"/>
        <w:spacing w:line="440" w:lineRule="exact"/>
        <w:ind w:firstLine="480" w:firstLineChars="200"/>
        <w:textAlignment w:val="auto"/>
        <w:rPr>
          <w:color w:val="auto"/>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在服务期限内，应严格按照《劳动法》的规定用工，签订用工劳务合同，并按规定为工人购买人身意外保险及相关的劳动保险，承包期间发生的一切安全责任事故及造成第三者伤害责任的，均由成交供应商承担。</w:t>
      </w:r>
    </w:p>
    <w:p>
      <w:pPr>
        <w:spacing w:line="440" w:lineRule="exact"/>
        <w:rPr>
          <w:rFonts w:hint="eastAsia" w:ascii="宋体" w:hAnsi="宋体"/>
          <w:b/>
          <w:color w:val="auto"/>
          <w:kern w:val="0"/>
          <w:sz w:val="24"/>
          <w:lang w:val="en-US" w:eastAsia="zh-CN"/>
        </w:rPr>
      </w:pPr>
      <w:r>
        <w:rPr>
          <w:rFonts w:hint="eastAsia" w:ascii="宋体" w:hAnsi="宋体"/>
          <w:b/>
          <w:color w:val="auto"/>
          <w:kern w:val="0"/>
          <w:sz w:val="24"/>
          <w:lang w:val="en-US" w:eastAsia="zh-CN"/>
        </w:rPr>
        <w:t>四、交货地点及时间</w:t>
      </w:r>
    </w:p>
    <w:p>
      <w:pPr>
        <w:pStyle w:val="2"/>
        <w:rPr>
          <w:rFonts w:hint="default"/>
          <w:color w:val="auto"/>
          <w:lang w:val="en-US" w:eastAsia="zh-CN"/>
        </w:rPr>
      </w:pPr>
    </w:p>
    <w:p>
      <w:pPr>
        <w:spacing w:line="440" w:lineRule="exact"/>
        <w:rPr>
          <w:rFonts w:hint="eastAsia" w:ascii="宋体" w:hAnsi="宋体"/>
          <w:b/>
          <w:color w:val="auto"/>
          <w:kern w:val="0"/>
          <w:sz w:val="24"/>
          <w:lang w:val="en-US" w:eastAsia="zh-CN"/>
        </w:rPr>
      </w:pPr>
    </w:p>
    <w:p>
      <w:pPr>
        <w:spacing w:line="440" w:lineRule="exact"/>
        <w:rPr>
          <w:rFonts w:hint="eastAsia" w:ascii="宋体" w:hAnsi="宋体"/>
          <w:b/>
          <w:color w:val="auto"/>
          <w:kern w:val="0"/>
          <w:sz w:val="24"/>
        </w:rPr>
      </w:pPr>
      <w:r>
        <w:rPr>
          <w:rFonts w:hint="eastAsia" w:ascii="宋体" w:hAnsi="宋体"/>
          <w:b/>
          <w:color w:val="auto"/>
          <w:kern w:val="0"/>
          <w:sz w:val="24"/>
          <w:lang w:val="en-US" w:eastAsia="zh-CN"/>
        </w:rPr>
        <w:t>五</w:t>
      </w:r>
      <w:r>
        <w:rPr>
          <w:rFonts w:ascii="宋体" w:hAnsi="宋体"/>
          <w:b/>
          <w:color w:val="auto"/>
          <w:kern w:val="0"/>
          <w:sz w:val="24"/>
        </w:rPr>
        <w:t>、付款方式</w:t>
      </w:r>
    </w:p>
    <w:bookmarkEnd w:id="54"/>
    <w:bookmarkEnd w:id="55"/>
    <w:bookmarkEnd w:id="56"/>
    <w:bookmarkEnd w:id="57"/>
    <w:bookmarkEnd w:id="64"/>
    <w:bookmarkEnd w:id="65"/>
    <w:bookmarkEnd w:id="66"/>
    <w:p>
      <w:pPr>
        <w:spacing w:line="440" w:lineRule="exact"/>
        <w:rPr>
          <w:rFonts w:hint="eastAsia" w:ascii="宋体" w:hAnsi="宋体"/>
          <w:b/>
          <w:color w:val="auto"/>
          <w:kern w:val="0"/>
          <w:sz w:val="24"/>
          <w:lang w:val="en-US" w:eastAsia="zh-CN"/>
        </w:rPr>
      </w:pPr>
    </w:p>
    <w:p>
      <w:pPr>
        <w:spacing w:line="440" w:lineRule="exact"/>
        <w:rPr>
          <w:rFonts w:hint="eastAsia" w:ascii="宋体" w:hAnsi="宋体"/>
          <w:b/>
          <w:color w:val="auto"/>
          <w:kern w:val="0"/>
          <w:sz w:val="24"/>
          <w:lang w:val="en-US" w:eastAsia="zh-CN"/>
        </w:rPr>
      </w:pPr>
    </w:p>
    <w:p>
      <w:pPr>
        <w:spacing w:line="440" w:lineRule="exact"/>
        <w:rPr>
          <w:rFonts w:hint="eastAsia" w:ascii="宋体" w:hAnsi="宋体"/>
          <w:b/>
          <w:color w:val="auto"/>
          <w:kern w:val="0"/>
          <w:sz w:val="24"/>
        </w:rPr>
      </w:pPr>
      <w:r>
        <w:rPr>
          <w:rFonts w:hint="eastAsia" w:ascii="宋体" w:hAnsi="宋体"/>
          <w:b/>
          <w:color w:val="auto"/>
          <w:kern w:val="0"/>
          <w:sz w:val="24"/>
          <w:lang w:val="en-US" w:eastAsia="zh-CN"/>
        </w:rPr>
        <w:t>六</w:t>
      </w:r>
      <w:r>
        <w:rPr>
          <w:rFonts w:hint="eastAsia" w:ascii="宋体" w:hAnsi="宋体"/>
          <w:b/>
          <w:color w:val="auto"/>
          <w:kern w:val="0"/>
          <w:sz w:val="24"/>
        </w:rPr>
        <w:t>、知识产权</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pPr>
        <w:spacing w:line="440" w:lineRule="exact"/>
        <w:rPr>
          <w:rFonts w:hint="eastAsia" w:ascii="宋体" w:hAnsi="宋体"/>
          <w:b/>
          <w:color w:val="auto"/>
          <w:sz w:val="24"/>
        </w:rPr>
      </w:pPr>
      <w:r>
        <w:rPr>
          <w:rFonts w:hint="eastAsia" w:ascii="宋体" w:hAnsi="宋体"/>
          <w:b/>
          <w:color w:val="auto"/>
          <w:sz w:val="24"/>
          <w:lang w:val="en-US" w:eastAsia="zh-CN"/>
        </w:rPr>
        <w:t>七</w:t>
      </w:r>
      <w:r>
        <w:rPr>
          <w:rFonts w:hint="eastAsia" w:ascii="宋体" w:hAnsi="宋体"/>
          <w:b/>
          <w:color w:val="auto"/>
          <w:sz w:val="24"/>
        </w:rPr>
        <w:t>、违约责任</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（2）成交供应商所交货物不符合本招标文件要求的，采购人有权拒收；同时，成交供应商应向采购人赔偿该合同款30%的违约金，且涉及到的部分合同条款采购人有权终止履行。</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（6）成交供应商在货物运输、装卸、安装等各种环节中产生的一切意外事故，包括不可抗拒力因素造成的事故，造成货物或配件的损坏概由成交供应商负责。</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4"/>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bookmarkEnd w:id="50"/>
    <w:bookmarkEnd w:id="51"/>
    <w:p>
      <w:pPr>
        <w:pStyle w:val="16"/>
        <w:rPr>
          <w:rFonts w:hint="eastAsia"/>
          <w:color w:val="auto"/>
          <w:highlight w:val="none"/>
          <w:lang w:eastAsia="zh-CN"/>
        </w:rPr>
      </w:pPr>
    </w:p>
    <w:p>
      <w:pPr>
        <w:pStyle w:val="3"/>
        <w:spacing w:before="120" w:after="120" w:line="400" w:lineRule="exact"/>
        <w:jc w:val="center"/>
        <w:rPr>
          <w:rFonts w:hint="eastAsia" w:ascii="宋体" w:hAnsi="宋体" w:eastAsia="宋体"/>
          <w:color w:val="auto"/>
          <w:szCs w:val="32"/>
          <w:highlight w:val="none"/>
        </w:rPr>
      </w:pPr>
      <w:bookmarkStart w:id="67" w:name="_Toc1683"/>
      <w:r>
        <w:rPr>
          <w:rFonts w:hint="eastAsia" w:ascii="宋体" w:hAnsi="宋体" w:eastAsia="宋体"/>
          <w:color w:val="auto"/>
          <w:szCs w:val="32"/>
          <w:highlight w:val="none"/>
        </w:rPr>
        <w:br w:type="page"/>
      </w:r>
      <w:bookmarkStart w:id="68" w:name="_Toc25197"/>
      <w:bookmarkStart w:id="69" w:name="_Toc29063"/>
      <w:r>
        <w:rPr>
          <w:rFonts w:hint="eastAsia" w:ascii="宋体" w:hAnsi="宋体" w:eastAsia="宋体"/>
          <w:color w:val="auto"/>
          <w:szCs w:val="32"/>
          <w:highlight w:val="none"/>
        </w:rPr>
        <w:t>第</w:t>
      </w:r>
      <w:r>
        <w:rPr>
          <w:rFonts w:hint="eastAsia" w:ascii="宋体" w:hAnsi="宋体" w:eastAsia="宋体"/>
          <w:color w:val="auto"/>
          <w:szCs w:val="32"/>
          <w:highlight w:val="none"/>
          <w:lang w:eastAsia="zh-CN"/>
        </w:rPr>
        <w:t>四</w:t>
      </w:r>
      <w:r>
        <w:rPr>
          <w:rFonts w:hint="eastAsia" w:ascii="宋体" w:hAnsi="宋体" w:eastAsia="宋体"/>
          <w:color w:val="auto"/>
          <w:szCs w:val="32"/>
          <w:highlight w:val="none"/>
        </w:rPr>
        <w:t xml:space="preserve">部分    </w:t>
      </w:r>
      <w:r>
        <w:rPr>
          <w:rFonts w:hint="eastAsia" w:ascii="宋体" w:hAnsi="宋体" w:eastAsia="宋体"/>
          <w:color w:val="auto"/>
          <w:szCs w:val="32"/>
          <w:highlight w:val="none"/>
          <w:lang w:eastAsia="zh-CN"/>
        </w:rPr>
        <w:t>报价</w:t>
      </w:r>
      <w:r>
        <w:rPr>
          <w:rFonts w:hint="eastAsia" w:ascii="宋体" w:hAnsi="宋体" w:eastAsia="宋体"/>
          <w:color w:val="auto"/>
          <w:szCs w:val="32"/>
          <w:highlight w:val="none"/>
        </w:rPr>
        <w:t>文件格式</w:t>
      </w:r>
      <w:bookmarkEnd w:id="67"/>
      <w:bookmarkEnd w:id="68"/>
      <w:bookmarkEnd w:id="69"/>
    </w:p>
    <w:p>
      <w:pPr>
        <w:spacing w:line="360" w:lineRule="auto"/>
        <w:rPr>
          <w:rFonts w:hint="eastAsia" w:ascii="宋体" w:hAnsi="宋体"/>
          <w:b/>
          <w:color w:val="auto"/>
          <w:sz w:val="28"/>
          <w:szCs w:val="28"/>
          <w:highlight w:val="none"/>
        </w:rPr>
      </w:pPr>
    </w:p>
    <w:p>
      <w:pPr>
        <w:spacing w:line="360" w:lineRule="auto"/>
        <w:jc w:val="center"/>
        <w:rPr>
          <w:rFonts w:hint="eastAsia" w:ascii="宋体" w:hAnsi="宋体"/>
          <w:b/>
          <w:color w:val="auto"/>
          <w:sz w:val="72"/>
          <w:highlight w:val="none"/>
        </w:rPr>
      </w:pPr>
    </w:p>
    <w:p>
      <w:pPr>
        <w:spacing w:line="360" w:lineRule="auto"/>
        <w:jc w:val="center"/>
        <w:outlineLvl w:val="9"/>
        <w:rPr>
          <w:rFonts w:hint="eastAsia" w:ascii="宋体" w:hAnsi="宋体"/>
          <w:b/>
          <w:color w:val="auto"/>
          <w:sz w:val="84"/>
          <w:szCs w:val="84"/>
          <w:highlight w:val="none"/>
        </w:rPr>
      </w:pPr>
      <w:r>
        <w:rPr>
          <w:rFonts w:hint="eastAsia" w:ascii="宋体" w:hAnsi="宋体"/>
          <w:b/>
          <w:color w:val="auto"/>
          <w:sz w:val="84"/>
          <w:szCs w:val="84"/>
          <w:highlight w:val="none"/>
        </w:rPr>
        <w:t>报价响应文件</w:t>
      </w: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ind w:firstLine="1439" w:firstLineChars="448"/>
        <w:outlineLvl w:val="9"/>
        <w:rPr>
          <w:rFonts w:hint="eastAsia" w:ascii="宋体" w:hAnsi="宋体"/>
          <w:b/>
          <w:color w:val="auto"/>
          <w:sz w:val="32"/>
          <w:szCs w:val="22"/>
          <w:highlight w:val="none"/>
          <w:u w:val="single"/>
        </w:rPr>
      </w:pPr>
      <w:r>
        <w:rPr>
          <w:rFonts w:hint="eastAsia" w:ascii="宋体" w:hAnsi="宋体"/>
          <w:b/>
          <w:color w:val="auto"/>
          <w:sz w:val="32"/>
          <w:szCs w:val="22"/>
          <w:highlight w:val="none"/>
        </w:rPr>
        <w:t>采 购 编 号：</w:t>
      </w:r>
      <w:r>
        <w:rPr>
          <w:rFonts w:hint="eastAsia" w:ascii="宋体" w:hAnsi="宋体"/>
          <w:b/>
          <w:color w:val="auto"/>
          <w:sz w:val="32"/>
          <w:szCs w:val="22"/>
          <w:highlight w:val="none"/>
          <w:u w:val="single"/>
        </w:rPr>
        <w:t xml:space="preserve">               </w:t>
      </w:r>
      <w:r>
        <w:rPr>
          <w:rFonts w:hint="eastAsia" w:ascii="宋体" w:hAnsi="宋体"/>
          <w:b/>
          <w:color w:val="auto"/>
          <w:sz w:val="32"/>
          <w:szCs w:val="22"/>
          <w:highlight w:val="none"/>
          <w:u w:val="single"/>
          <w:lang w:val="en-US" w:eastAsia="zh-CN"/>
        </w:rPr>
        <w:t xml:space="preserve">                 </w:t>
      </w:r>
      <w:r>
        <w:rPr>
          <w:rFonts w:hint="eastAsia" w:ascii="宋体" w:hAnsi="宋体"/>
          <w:b/>
          <w:color w:val="auto"/>
          <w:sz w:val="32"/>
          <w:szCs w:val="22"/>
          <w:highlight w:val="none"/>
          <w:u w:val="single"/>
        </w:rPr>
        <w:t xml:space="preserve">     </w:t>
      </w:r>
    </w:p>
    <w:p>
      <w:pPr>
        <w:spacing w:line="360" w:lineRule="auto"/>
        <w:ind w:firstLine="1439" w:firstLineChars="448"/>
        <w:outlineLvl w:val="9"/>
        <w:rPr>
          <w:rFonts w:hint="eastAsia" w:ascii="宋体" w:hAnsi="宋体"/>
          <w:b/>
          <w:bCs/>
          <w:color w:val="auto"/>
          <w:sz w:val="32"/>
          <w:highlight w:val="none"/>
          <w:u w:val="single"/>
        </w:rPr>
      </w:pPr>
      <w:r>
        <w:rPr>
          <w:rFonts w:hint="eastAsia" w:ascii="宋体" w:hAnsi="宋体"/>
          <w:b/>
          <w:color w:val="auto"/>
          <w:sz w:val="32"/>
          <w:szCs w:val="22"/>
          <w:highlight w:val="none"/>
        </w:rPr>
        <w:t>项 目 名 称：</w:t>
      </w:r>
      <w:r>
        <w:rPr>
          <w:rFonts w:hint="eastAsia" w:ascii="宋体" w:hAnsi="宋体"/>
          <w:b w:val="0"/>
          <w:bCs/>
          <w:color w:val="auto"/>
          <w:sz w:val="24"/>
          <w:szCs w:val="24"/>
          <w:highlight w:val="none"/>
          <w:u w:val="single"/>
          <w:lang w:val="en-US" w:eastAsia="zh-CN"/>
        </w:rPr>
        <w:t xml:space="preserve"> 坐位体前屈测试仪、仰卧起坐测试仪、引体向上测试仪 </w:t>
      </w:r>
    </w:p>
    <w:p>
      <w:pPr>
        <w:spacing w:line="360" w:lineRule="auto"/>
        <w:outlineLvl w:val="9"/>
        <w:rPr>
          <w:rFonts w:hint="eastAsia" w:ascii="宋体" w:hAnsi="宋体"/>
          <w:color w:val="auto"/>
          <w:sz w:val="28"/>
          <w:szCs w:val="28"/>
          <w:highlight w:val="none"/>
        </w:rPr>
      </w:pPr>
    </w:p>
    <w:p>
      <w:pPr>
        <w:pStyle w:val="14"/>
        <w:rPr>
          <w:rFonts w:hint="eastAsia"/>
          <w:color w:val="auto"/>
          <w:highlight w:val="none"/>
        </w:rPr>
      </w:pPr>
    </w:p>
    <w:p>
      <w:pPr>
        <w:spacing w:line="360" w:lineRule="auto"/>
        <w:rPr>
          <w:rFonts w:hint="eastAsia" w:ascii="宋体" w:hAnsi="宋体"/>
          <w:b/>
          <w:color w:val="auto"/>
          <w:sz w:val="36"/>
          <w:highlight w:val="none"/>
        </w:rPr>
      </w:pPr>
    </w:p>
    <w:p>
      <w:pPr>
        <w:pStyle w:val="14"/>
        <w:rPr>
          <w:rFonts w:hint="eastAsia"/>
          <w:color w:val="auto"/>
          <w:highlight w:val="none"/>
        </w:rPr>
      </w:pPr>
    </w:p>
    <w:p>
      <w:pPr>
        <w:spacing w:line="360" w:lineRule="auto"/>
        <w:outlineLvl w:val="9"/>
        <w:rPr>
          <w:rFonts w:hint="eastAsia" w:ascii="宋体" w:hAnsi="宋体"/>
          <w:b/>
          <w:color w:val="auto"/>
          <w:sz w:val="36"/>
          <w:highlight w:val="none"/>
        </w:rPr>
      </w:pPr>
    </w:p>
    <w:p>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期：</w:t>
      </w:r>
      <w:r>
        <w:rPr>
          <w:rFonts w:hint="eastAsia" w:ascii="宋体" w:hAnsi="宋体"/>
          <w:b/>
          <w:color w:val="auto"/>
          <w:sz w:val="36"/>
          <w:highlight w:val="none"/>
          <w:u w:val="single"/>
        </w:rPr>
        <w:t xml:space="preserve">               </w:t>
      </w:r>
    </w:p>
    <w:p>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pStyle w:val="14"/>
        <w:rPr>
          <w:rFonts w:hint="eastAsia"/>
          <w:color w:val="auto"/>
          <w:highlight w:val="none"/>
        </w:rPr>
      </w:pPr>
    </w:p>
    <w:p>
      <w:pPr>
        <w:rPr>
          <w:rFonts w:hint="eastAsia"/>
          <w:color w:val="auto"/>
          <w:highlight w:val="none"/>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0"/>
        <w:rPr>
          <w:rFonts w:hint="eastAsia" w:ascii="宋体" w:hAnsi="宋体" w:eastAsia="宋体" w:cs="宋体"/>
          <w:color w:val="auto"/>
          <w:sz w:val="28"/>
          <w:szCs w:val="28"/>
          <w:highlight w:val="none"/>
        </w:rPr>
      </w:pPr>
      <w:bookmarkStart w:id="70" w:name="_Toc29646"/>
      <w:bookmarkStart w:id="71" w:name="_Toc14215"/>
      <w:bookmarkStart w:id="72" w:name="_Toc12112"/>
      <w:bookmarkStart w:id="73" w:name="_Toc1376"/>
      <w:bookmarkStart w:id="74" w:name="_Toc372013039"/>
      <w:bookmarkStart w:id="75" w:name="_Toc502907889"/>
      <w:bookmarkStart w:id="76" w:name="_Toc1606"/>
      <w:bookmarkStart w:id="77" w:name="_Toc373141305"/>
      <w:bookmarkStart w:id="78" w:name="_Toc432513145"/>
      <w:bookmarkStart w:id="79" w:name="_Toc393727156"/>
      <w:r>
        <w:rPr>
          <w:rFonts w:hint="eastAsia" w:ascii="宋体" w:hAnsi="宋体" w:eastAsia="宋体" w:cs="宋体"/>
          <w:b/>
          <w:color w:val="auto"/>
          <w:sz w:val="28"/>
          <w:szCs w:val="28"/>
          <w:highlight w:val="none"/>
        </w:rPr>
        <w:t xml:space="preserve">格式1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报   价  书</w:t>
      </w:r>
      <w:bookmarkEnd w:id="70"/>
      <w:bookmarkEnd w:id="71"/>
      <w:bookmarkEnd w:id="72"/>
      <w:bookmarkEnd w:id="73"/>
    </w:p>
    <w:p>
      <w:pPr>
        <w:pStyle w:val="8"/>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w:t>
      </w:r>
      <w:r>
        <w:rPr>
          <w:rFonts w:hint="eastAsia" w:ascii="宋体" w:hAnsi="宋体"/>
          <w:i w:val="0"/>
          <w:iCs w:val="0"/>
          <w:color w:val="auto"/>
          <w:sz w:val="24"/>
          <w:szCs w:val="24"/>
          <w:highlight w:val="none"/>
          <w:u w:val="single"/>
          <w:lang w:val="en-US" w:eastAsia="zh-CN"/>
        </w:rPr>
        <w:t>泉州师范学院体育学院</w:t>
      </w:r>
      <w:r>
        <w:rPr>
          <w:rFonts w:hint="eastAsia" w:ascii="宋体" w:hAnsi="宋体" w:cs="宋体"/>
          <w:b/>
          <w:bCs/>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 项目招标采购货物及服务的报价邀请，报价代表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(全名、职务)经正式授权并代表报价供应商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(报价供应商全称、地址)提交以下文件正本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据此函，报价供应商同意遵守如下条款：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cs="宋体"/>
          <w:color w:val="auto"/>
          <w:sz w:val="24"/>
          <w:szCs w:val="24"/>
          <w:highlight w:val="none"/>
          <w:lang w:eastAsia="zh-CN"/>
        </w:rPr>
        <w:t>，报价为人民币</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color w:val="auto"/>
          <w:spacing w:val="-4"/>
          <w:sz w:val="24"/>
          <w:szCs w:val="24"/>
          <w:highlight w:val="none"/>
        </w:rPr>
      </w:pPr>
      <w:r>
        <w:rPr>
          <w:rFonts w:hint="eastAsia" w:ascii="宋体" w:hAnsi="宋体" w:eastAsia="宋体" w:cs="宋体"/>
          <w:color w:val="auto"/>
          <w:sz w:val="24"/>
          <w:szCs w:val="24"/>
          <w:highlight w:val="none"/>
        </w:rPr>
        <w:t>6、报价供应商</w:t>
      </w:r>
      <w:r>
        <w:rPr>
          <w:rFonts w:hint="eastAsia" w:ascii="宋体" w:hAnsi="宋体" w:eastAsia="宋体" w:cs="宋体"/>
          <w:color w:val="auto"/>
          <w:spacing w:val="-4"/>
          <w:sz w:val="24"/>
          <w:szCs w:val="24"/>
          <w:highlight w:val="none"/>
        </w:rPr>
        <w:t>同意提供按照采购代理机构可能要求的与其报价有关的一切数据或资料，完全理解采购代理机构不一定要接受最低价的报价或逾期收到的任何报价。</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7、与本报价有关的一切正式往来通讯请寄：</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地址：</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邮编：</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电话：</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传真：</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u w:val="single"/>
        </w:rPr>
      </w:pPr>
      <w:r>
        <w:rPr>
          <w:rFonts w:hint="eastAsia" w:ascii="宋体" w:hAnsi="宋体" w:eastAsia="宋体" w:cs="宋体"/>
          <w:color w:val="auto"/>
          <w:spacing w:val="-4"/>
          <w:sz w:val="24"/>
          <w:szCs w:val="24"/>
          <w:highlight w:val="none"/>
        </w:rPr>
        <w:t>报价代表姓名、职务(印刷体)：</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报价代表签字：</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报价供应商全称（加盖公章）：</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日期：</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年</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月</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日 </w:t>
      </w:r>
    </w:p>
    <w:p>
      <w:pPr>
        <w:pStyle w:val="16"/>
        <w:rPr>
          <w:rFonts w:hint="eastAsia"/>
          <w:color w:val="auto"/>
          <w:highlight w:val="none"/>
        </w:rPr>
      </w:pPr>
    </w:p>
    <w:p>
      <w:pPr>
        <w:keepNext w:val="0"/>
        <w:keepLines w:val="0"/>
        <w:pageBreakBefore w:val="0"/>
        <w:kinsoku/>
        <w:wordWrap/>
        <w:overflowPunct/>
        <w:topLinePunct w:val="0"/>
        <w:bidi w:val="0"/>
        <w:spacing w:line="440" w:lineRule="exact"/>
        <w:outlineLvl w:val="9"/>
        <w:rPr>
          <w:rFonts w:hint="eastAsia" w:ascii="宋体" w:hAnsi="宋体" w:eastAsia="宋体" w:cs="宋体"/>
          <w:b/>
          <w:color w:val="auto"/>
          <w:sz w:val="28"/>
          <w:szCs w:val="28"/>
          <w:highlight w:val="none"/>
        </w:rPr>
      </w:pPr>
    </w:p>
    <w:p>
      <w:pPr>
        <w:pStyle w:val="2"/>
        <w:rPr>
          <w:rFonts w:hint="eastAsia"/>
          <w:color w:val="auto"/>
        </w:rPr>
      </w:pPr>
    </w:p>
    <w:p>
      <w:pPr>
        <w:keepNext w:val="0"/>
        <w:keepLines w:val="0"/>
        <w:pageBreakBefore w:val="0"/>
        <w:kinsoku/>
        <w:wordWrap/>
        <w:overflowPunct/>
        <w:topLinePunct w:val="0"/>
        <w:bidi w:val="0"/>
        <w:spacing w:line="440" w:lineRule="exact"/>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 </w:t>
      </w:r>
      <w:bookmarkEnd w:id="74"/>
      <w:bookmarkEnd w:id="75"/>
      <w:bookmarkEnd w:id="76"/>
      <w:bookmarkEnd w:id="77"/>
      <w:bookmarkEnd w:id="78"/>
      <w:bookmarkEnd w:id="79"/>
      <w:bookmarkStart w:id="80" w:name="_Toc4358"/>
      <w:bookmarkStart w:id="81" w:name="_Toc13976"/>
      <w:bookmarkStart w:id="82" w:name="_Toc20566"/>
      <w:bookmarkStart w:id="83" w:name="_Toc26916"/>
      <w:r>
        <w:rPr>
          <w:rFonts w:hint="eastAsia" w:ascii="宋体" w:hAnsi="宋体" w:eastAsia="宋体" w:cs="宋体"/>
          <w:b/>
          <w:color w:val="auto"/>
          <w:sz w:val="28"/>
          <w:szCs w:val="28"/>
          <w:highlight w:val="none"/>
        </w:rPr>
        <w:t>格式2                       报价一览表</w:t>
      </w:r>
      <w:bookmarkEnd w:id="80"/>
      <w:bookmarkEnd w:id="81"/>
      <w:bookmarkEnd w:id="82"/>
      <w:bookmarkEnd w:id="83"/>
    </w:p>
    <w:p>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7"/>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pPr>
              <w:pStyle w:val="13"/>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pPr>
              <w:pStyle w:val="13"/>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pPr>
              <w:pStyle w:val="9"/>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pStyle w:val="2"/>
        <w:rPr>
          <w:rFonts w:hint="eastAsia" w:ascii="宋体" w:hAnsi="宋体" w:eastAsia="宋体" w:cs="宋体"/>
          <w:color w:val="auto"/>
          <w:sz w:val="24"/>
          <w:szCs w:val="24"/>
          <w:highlight w:val="none"/>
          <w:u w:val="singl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cs="宋体"/>
          <w:color w:val="auto"/>
          <w:sz w:val="28"/>
          <w:szCs w:val="28"/>
          <w:highlight w:val="none"/>
          <w:lang w:val="en-US" w:eastAsia="zh-CN"/>
        </w:rPr>
      </w:pPr>
    </w:p>
    <w:p>
      <w:pPr>
        <w:spacing w:line="400" w:lineRule="exact"/>
        <w:outlineLvl w:val="9"/>
        <w:rPr>
          <w:rFonts w:hint="eastAsia" w:hAnsi="宋体"/>
          <w:b/>
          <w:color w:val="auto"/>
          <w:sz w:val="24"/>
          <w:highlight w:val="none"/>
        </w:rPr>
      </w:pPr>
      <w:bookmarkStart w:id="84" w:name="_Toc477899480"/>
    </w:p>
    <w:p>
      <w:pPr>
        <w:spacing w:line="400" w:lineRule="exact"/>
        <w:outlineLvl w:val="0"/>
        <w:rPr>
          <w:rFonts w:hint="eastAsia" w:ascii="宋体" w:hAnsi="宋体"/>
          <w:b/>
          <w:color w:val="auto"/>
          <w:sz w:val="24"/>
          <w:highlight w:val="none"/>
        </w:rPr>
      </w:pPr>
      <w:bookmarkStart w:id="85" w:name="_Toc12436"/>
      <w:bookmarkStart w:id="86" w:name="_Toc7138"/>
      <w:r>
        <w:rPr>
          <w:rFonts w:hint="eastAsia" w:hAnsi="宋体"/>
          <w:b/>
          <w:color w:val="auto"/>
          <w:sz w:val="24"/>
          <w:highlight w:val="none"/>
        </w:rPr>
        <w:t>格式</w:t>
      </w:r>
      <w:r>
        <w:rPr>
          <w:rFonts w:hint="eastAsia" w:hAnsi="宋体"/>
          <w:b/>
          <w:color w:val="auto"/>
          <w:sz w:val="24"/>
          <w:highlight w:val="none"/>
          <w:lang w:val="en-US" w:eastAsia="zh-CN"/>
        </w:rPr>
        <w:t>3</w:t>
      </w:r>
      <w:r>
        <w:rPr>
          <w:rFonts w:hint="eastAsia" w:hAnsi="宋体"/>
          <w:b/>
          <w:color w:val="auto"/>
          <w:sz w:val="24"/>
          <w:highlight w:val="none"/>
        </w:rPr>
        <w:t xml:space="preserve">   </w:t>
      </w:r>
      <w:r>
        <w:rPr>
          <w:rFonts w:hint="eastAsia" w:ascii="宋体" w:hAnsi="宋体"/>
          <w:b/>
          <w:color w:val="auto"/>
          <w:sz w:val="24"/>
          <w:highlight w:val="none"/>
        </w:rPr>
        <w:t xml:space="preserve">                       分项报价明细表</w:t>
      </w:r>
      <w:bookmarkEnd w:id="84"/>
      <w:bookmarkEnd w:id="85"/>
      <w:bookmarkEnd w:id="86"/>
    </w:p>
    <w:p>
      <w:pPr>
        <w:spacing w:line="400" w:lineRule="exact"/>
        <w:rPr>
          <w:rFonts w:hint="eastAsia" w:ascii="黑体" w:hAnsi="Arial" w:eastAsia="黑体"/>
          <w:b/>
          <w:color w:val="auto"/>
          <w:sz w:val="24"/>
          <w:highlight w:val="none"/>
        </w:rPr>
      </w:pP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400" w:lineRule="exact"/>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spacing w:line="400" w:lineRule="exact"/>
        <w:jc w:val="center"/>
        <w:rPr>
          <w:rFonts w:hint="default" w:ascii="Arial" w:hAnsi="Arial" w:eastAsia="宋体"/>
          <w:color w:val="auto"/>
          <w:sz w:val="32"/>
          <w:szCs w:val="32"/>
          <w:highlight w:val="none"/>
          <w:lang w:val="en-US" w:eastAsia="zh-CN"/>
        </w:rPr>
      </w:pPr>
      <w:r>
        <w:rPr>
          <w:rFonts w:hint="eastAsia" w:ascii="Arial" w:hAnsi="Arial"/>
          <w:color w:val="auto"/>
          <w:sz w:val="32"/>
          <w:szCs w:val="32"/>
          <w:highlight w:val="none"/>
          <w:lang w:val="en-US" w:eastAsia="zh-CN"/>
        </w:rPr>
        <w:t>格式自拟定</w:t>
      </w:r>
    </w:p>
    <w:p>
      <w:pPr>
        <w:spacing w:line="400" w:lineRule="exact"/>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pStyle w:val="2"/>
        <w:rPr>
          <w:rFonts w:hint="eastAsia" w:ascii="Arial" w:hAnsi="Arial"/>
          <w:color w:val="auto"/>
          <w:szCs w:val="21"/>
          <w:highlight w:val="none"/>
        </w:rPr>
      </w:pPr>
    </w:p>
    <w:p>
      <w:pPr>
        <w:spacing w:line="400" w:lineRule="exact"/>
        <w:rPr>
          <w:rFonts w:hint="eastAsia" w:ascii="宋体" w:hAnsi="宋体"/>
          <w:b/>
          <w:color w:val="auto"/>
          <w:szCs w:val="21"/>
          <w:highlight w:val="none"/>
        </w:rPr>
      </w:pPr>
    </w:p>
    <w:p>
      <w:pPr>
        <w:spacing w:line="400" w:lineRule="exact"/>
        <w:rPr>
          <w:rFonts w:hint="eastAsia" w:ascii="宋体" w:hAnsi="宋体"/>
          <w:color w:val="auto"/>
          <w:szCs w:val="21"/>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spacing w:line="440" w:lineRule="exact"/>
        <w:jc w:val="both"/>
        <w:outlineLvl w:val="0"/>
        <w:rPr>
          <w:rFonts w:hint="eastAsia" w:ascii="宋体" w:hAnsi="宋体" w:eastAsia="宋体" w:cs="宋体"/>
          <w:b/>
          <w:color w:val="auto"/>
          <w:sz w:val="28"/>
          <w:szCs w:val="28"/>
          <w:highlight w:val="none"/>
        </w:rPr>
      </w:pPr>
      <w:bookmarkStart w:id="87" w:name="_Toc24019"/>
      <w:bookmarkStart w:id="88" w:name="_Toc102"/>
      <w:bookmarkStart w:id="89" w:name="_Toc29026"/>
      <w:bookmarkStart w:id="90" w:name="_Toc24037"/>
      <w:bookmarkStart w:id="91" w:name="_Toc432513149"/>
      <w:bookmarkStart w:id="92" w:name="_Toc23010"/>
      <w:bookmarkStart w:id="93" w:name="_Toc373141312"/>
      <w:bookmarkStart w:id="94" w:name="_Toc372013046"/>
      <w:bookmarkStart w:id="95" w:name="_Toc502907895"/>
      <w:bookmarkStart w:id="96" w:name="_Toc145132116"/>
      <w:bookmarkStart w:id="97" w:name="_Toc393727163"/>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4</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87"/>
      <w:bookmarkEnd w:id="88"/>
      <w:bookmarkEnd w:id="89"/>
      <w:bookmarkEnd w:id="90"/>
    </w:p>
    <w:p>
      <w:pPr>
        <w:spacing w:line="440" w:lineRule="exact"/>
        <w:ind w:firstLine="2940" w:firstLineChars="1046"/>
        <w:jc w:val="left"/>
        <w:rPr>
          <w:rFonts w:hint="eastAsia" w:ascii="宋体" w:hAnsi="宋体" w:eastAsia="宋体" w:cs="宋体"/>
          <w:b/>
          <w:color w:val="auto"/>
          <w:sz w:val="28"/>
          <w:szCs w:val="28"/>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w:t>
      </w:r>
      <w:r>
        <w:rPr>
          <w:rFonts w:hint="eastAsia" w:ascii="宋体" w:hAnsi="宋体"/>
          <w:i w:val="0"/>
          <w:iCs w:val="0"/>
          <w:color w:val="auto"/>
          <w:sz w:val="24"/>
          <w:szCs w:val="24"/>
          <w:highlight w:val="none"/>
          <w:u w:val="single"/>
          <w:lang w:val="en-US" w:eastAsia="zh-CN"/>
        </w:rPr>
        <w:t>泉州师范学院体育学院</w:t>
      </w:r>
      <w:r>
        <w:rPr>
          <w:rFonts w:hint="eastAsia" w:ascii="宋体" w:hAnsi="宋体" w:cs="宋体"/>
          <w:b/>
          <w:bCs/>
          <w:color w:val="auto"/>
          <w:sz w:val="24"/>
          <w:szCs w:val="24"/>
          <w:highlight w:val="none"/>
          <w:u w:val="single"/>
          <w:lang w:val="en-US" w:eastAsia="zh-CN"/>
        </w:rPr>
        <w:t xml:space="preserve"> </w:t>
      </w:r>
    </w:p>
    <w:p>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14"/>
        <w:rPr>
          <w:rFonts w:hint="eastAsia"/>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pPr>
        <w:spacing w:line="360" w:lineRule="auto"/>
        <w:ind w:firstLine="360" w:firstLineChars="15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p>
    <w:p>
      <w:pPr>
        <w:spacing w:line="360" w:lineRule="auto"/>
        <w:ind w:firstLine="360" w:firstLineChars="150"/>
        <w:rPr>
          <w:rFonts w:hint="eastAsia" w:ascii="宋体" w:hAnsi="宋体" w:eastAsia="宋体" w:cs="宋体"/>
          <w:color w:val="auto"/>
          <w:sz w:val="24"/>
          <w:szCs w:val="24"/>
          <w:highlight w:val="none"/>
        </w:rPr>
      </w:pPr>
      <w:r>
        <w:rPr>
          <w:rFonts w:hint="default" w:ascii="Arial" w:hAnsi="Arial" w:eastAsia="宋体" w:cs="Arial"/>
          <w:color w:val="auto"/>
          <w:sz w:val="24"/>
          <w:szCs w:val="24"/>
          <w:highlight w:val="none"/>
        </w:rPr>
        <w:t>…………………………</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bookmarkEnd w:id="91"/>
    <w:bookmarkEnd w:id="92"/>
    <w:bookmarkEnd w:id="93"/>
    <w:bookmarkEnd w:id="94"/>
    <w:bookmarkEnd w:id="95"/>
    <w:bookmarkEnd w:id="96"/>
    <w:bookmarkEnd w:id="97"/>
    <w:p>
      <w:pPr>
        <w:spacing w:line="440" w:lineRule="exact"/>
        <w:outlineLvl w:val="9"/>
        <w:rPr>
          <w:rFonts w:hint="eastAsia" w:ascii="宋体" w:hAnsi="宋体" w:eastAsia="宋体" w:cs="宋体"/>
          <w:b/>
          <w:color w:val="auto"/>
          <w:sz w:val="28"/>
          <w:szCs w:val="28"/>
          <w:highlight w:val="none"/>
        </w:rPr>
      </w:pPr>
    </w:p>
    <w:p>
      <w:pPr>
        <w:spacing w:line="440" w:lineRule="exact"/>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w:t>
      </w:r>
      <w:bookmarkStart w:id="98" w:name="_Toc15327"/>
      <w:bookmarkStart w:id="99" w:name="_Toc30609"/>
      <w:bookmarkStart w:id="100" w:name="_Toc4657"/>
      <w:bookmarkStart w:id="101" w:name="_Toc13141"/>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5</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法定代表人授权书(原件)</w:t>
      </w:r>
      <w:bookmarkEnd w:id="98"/>
      <w:bookmarkEnd w:id="99"/>
      <w:bookmarkEnd w:id="100"/>
      <w:bookmarkEnd w:id="101"/>
    </w:p>
    <w:p>
      <w:pPr>
        <w:spacing w:line="440" w:lineRule="exact"/>
        <w:rPr>
          <w:rFonts w:hint="eastAsia" w:ascii="宋体" w:hAnsi="宋体" w:eastAsia="宋体" w:cs="宋体"/>
          <w:b/>
          <w:color w:val="auto"/>
          <w:sz w:val="28"/>
          <w:szCs w:val="28"/>
          <w:highlight w:val="none"/>
        </w:rPr>
      </w:pPr>
    </w:p>
    <w:p>
      <w:pPr>
        <w:spacing w:line="440" w:lineRule="exact"/>
        <w:rPr>
          <w:rFonts w:hint="eastAsia" w:ascii="宋体" w:hAnsi="宋体" w:eastAsia="宋体" w:cs="宋体"/>
          <w:b/>
          <w:color w:val="auto"/>
          <w:sz w:val="28"/>
          <w:szCs w:val="28"/>
          <w:highlight w:val="none"/>
        </w:rPr>
      </w:pPr>
    </w:p>
    <w:p>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pPr>
        <w:pStyle w:val="22"/>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pPr>
        <w:pStyle w:val="22"/>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22"/>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pStyle w:val="22"/>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pPr>
        <w:pStyle w:val="22"/>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pPr>
        <w:pStyle w:val="22"/>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pPr>
        <w:spacing w:line="360" w:lineRule="auto"/>
        <w:rPr>
          <w:rFonts w:hint="eastAsia" w:ascii="宋体" w:hAnsi="宋体" w:eastAsia="宋体" w:cs="宋体"/>
          <w:b/>
          <w:color w:val="auto"/>
          <w:sz w:val="24"/>
          <w:szCs w:val="24"/>
          <w:highlight w:val="none"/>
        </w:rPr>
      </w:pPr>
    </w:p>
    <w:p>
      <w:pPr>
        <w:pStyle w:val="22"/>
        <w:spacing w:line="360" w:lineRule="auto"/>
        <w:ind w:right="560" w:firstLine="560"/>
        <w:jc w:val="center"/>
        <w:outlineLvl w:val="9"/>
        <w:rPr>
          <w:rFonts w:hint="eastAsia" w:ascii="宋体" w:hAnsi="宋体" w:eastAsia="宋体" w:cs="宋体"/>
          <w:color w:val="auto"/>
          <w:sz w:val="24"/>
          <w:szCs w:val="24"/>
          <w:highlight w:val="none"/>
        </w:rPr>
      </w:pPr>
    </w:p>
    <w:p>
      <w:pPr>
        <w:pStyle w:val="22"/>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440" w:lineRule="exact"/>
        <w:outlineLvl w:val="9"/>
        <w:rPr>
          <w:rFonts w:hint="eastAsia" w:ascii="宋体" w:hAnsi="宋体" w:eastAsia="宋体" w:cs="宋体"/>
          <w:b/>
          <w:color w:val="auto"/>
          <w:sz w:val="28"/>
          <w:szCs w:val="28"/>
          <w:highlight w:val="none"/>
        </w:rPr>
      </w:pPr>
    </w:p>
    <w:p>
      <w:pPr>
        <w:spacing w:line="440" w:lineRule="exact"/>
        <w:outlineLvl w:val="9"/>
        <w:rPr>
          <w:rFonts w:hint="eastAsia" w:ascii="宋体" w:hAnsi="宋体" w:eastAsia="宋体" w:cs="宋体"/>
          <w:b/>
          <w:color w:val="auto"/>
          <w:sz w:val="28"/>
          <w:szCs w:val="28"/>
          <w:highlight w:val="none"/>
        </w:rPr>
      </w:pPr>
    </w:p>
    <w:p>
      <w:pPr>
        <w:spacing w:line="400" w:lineRule="exact"/>
        <w:jc w:val="center"/>
        <w:outlineLvl w:val="9"/>
        <w:rPr>
          <w:rFonts w:hint="eastAsia" w:ascii="黑体" w:eastAsia="黑体"/>
          <w:b/>
          <w:color w:val="auto"/>
          <w:sz w:val="24"/>
          <w:szCs w:val="24"/>
          <w:highlight w:val="none"/>
        </w:rPr>
      </w:pPr>
      <w:r>
        <w:rPr>
          <w:rFonts w:hint="eastAsia" w:ascii="黑体" w:eastAsia="黑体"/>
          <w:b/>
          <w:color w:val="auto"/>
          <w:sz w:val="24"/>
          <w:szCs w:val="24"/>
          <w:highlight w:val="none"/>
        </w:rPr>
        <w:t>（请附上法人代表及</w:t>
      </w:r>
      <w:r>
        <w:rPr>
          <w:rFonts w:hint="eastAsia" w:ascii="黑体" w:eastAsia="黑体"/>
          <w:b/>
          <w:color w:val="auto"/>
          <w:sz w:val="24"/>
          <w:szCs w:val="24"/>
          <w:highlight w:val="none"/>
          <w:lang w:eastAsia="zh-CN"/>
        </w:rPr>
        <w:t>报价</w:t>
      </w:r>
      <w:r>
        <w:rPr>
          <w:rFonts w:hint="eastAsia" w:ascii="黑体" w:eastAsia="黑体"/>
          <w:b/>
          <w:color w:val="auto"/>
          <w:sz w:val="24"/>
          <w:szCs w:val="24"/>
          <w:highlight w:val="none"/>
        </w:rPr>
        <w:t>代表身份证双面复印件）</w:t>
      </w:r>
    </w:p>
    <w:p>
      <w:pPr>
        <w:spacing w:line="440" w:lineRule="exact"/>
        <w:rPr>
          <w:rFonts w:hint="eastAsia" w:ascii="宋体" w:hAnsi="宋体" w:eastAsia="宋体" w:cs="宋体"/>
          <w:b/>
          <w:color w:val="auto"/>
          <w:sz w:val="28"/>
          <w:szCs w:val="28"/>
          <w:highlight w:val="none"/>
          <w:lang w:eastAsia="zh-CN"/>
        </w:rPr>
      </w:pPr>
    </w:p>
    <w:p>
      <w:pPr>
        <w:spacing w:line="440" w:lineRule="exact"/>
        <w:rPr>
          <w:rFonts w:hint="eastAsia" w:ascii="宋体" w:hAnsi="宋体" w:eastAsia="宋体" w:cs="宋体"/>
          <w:b/>
          <w:color w:val="auto"/>
          <w:sz w:val="28"/>
          <w:szCs w:val="28"/>
          <w:highlight w:val="none"/>
        </w:rPr>
      </w:pPr>
    </w:p>
    <w:p>
      <w:pPr>
        <w:pStyle w:val="16"/>
        <w:rPr>
          <w:rFonts w:hint="eastAsia" w:ascii="宋体" w:hAnsi="宋体" w:eastAsia="宋体" w:cs="宋体"/>
          <w:b/>
          <w:color w:val="auto"/>
          <w:sz w:val="28"/>
          <w:szCs w:val="28"/>
          <w:highlight w:val="none"/>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Pr>
        <w:spacing w:line="440" w:lineRule="exact"/>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6</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w:t>
      </w:r>
      <w:r>
        <w:rPr>
          <w:rFonts w:hint="eastAsia" w:ascii="宋体" w:hAnsi="宋体"/>
          <w:i w:val="0"/>
          <w:iCs w:val="0"/>
          <w:color w:val="auto"/>
          <w:sz w:val="24"/>
          <w:szCs w:val="24"/>
          <w:highlight w:val="none"/>
          <w:u w:val="single"/>
          <w:lang w:val="en-US" w:eastAsia="zh-CN"/>
        </w:rPr>
        <w:t>泉州师范学院体育学院</w:t>
      </w:r>
      <w:r>
        <w:rPr>
          <w:rFonts w:hint="eastAsia" w:ascii="宋体" w:hAnsi="宋体" w:cs="宋体"/>
          <w:b/>
          <w:bCs/>
          <w:color w:val="auto"/>
          <w:sz w:val="24"/>
          <w:szCs w:val="24"/>
          <w:highlight w:val="none"/>
          <w:u w:val="single"/>
          <w:lang w:val="en-US" w:eastAsia="zh-CN"/>
        </w:rPr>
        <w:t xml:space="preserve">  </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val="en-US" w:eastAsia="zh-CN"/>
        </w:rPr>
        <w:t>1、我公司</w:t>
      </w:r>
      <w:r>
        <w:rPr>
          <w:rFonts w:hint="eastAsia" w:asciiTheme="minorEastAsia" w:hAnsiTheme="minorEastAsia" w:eastAsiaTheme="minorEastAsia" w:cstheme="minorEastAsia"/>
          <w:color w:val="auto"/>
          <w:sz w:val="24"/>
          <w:highlight w:val="none"/>
        </w:rPr>
        <w:t>符合《中华人民共和国政府采购法》第二十二条规定条件且无行贿犯罪记录</w:t>
      </w:r>
      <w:r>
        <w:rPr>
          <w:rFonts w:hint="eastAsia" w:asciiTheme="minorEastAsia" w:hAnsiTheme="minorEastAsia" w:eastAsiaTheme="minorEastAsia" w:cstheme="minorEastAsia"/>
          <w:color w:val="auto"/>
          <w:sz w:val="24"/>
          <w:highlight w:val="none"/>
          <w:lang w:eastAsia="zh-CN"/>
        </w:rPr>
        <w:t>。</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特此声明！</w:t>
      </w:r>
    </w:p>
    <w:p>
      <w:pPr>
        <w:pStyle w:val="2"/>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lang w:val="en-US" w:eastAsia="zh-CN"/>
        </w:rPr>
        <w:t>2、我公司</w:t>
      </w:r>
      <w:r>
        <w:rPr>
          <w:rFonts w:hint="eastAsia" w:asciiTheme="minorEastAsia" w:hAnsiTheme="minorEastAsia" w:eastAsiaTheme="minorEastAsia" w:cstheme="minorEastAsia"/>
          <w:color w:val="auto"/>
          <w:sz w:val="24"/>
          <w:highlight w:val="none"/>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auto"/>
          <w:sz w:val="24"/>
          <w:highlight w:val="none"/>
          <w:lang w:val="en-US" w:eastAsia="zh-CN"/>
        </w:rPr>
        <w:t>公司</w:t>
      </w:r>
      <w:r>
        <w:rPr>
          <w:rFonts w:hint="eastAsia" w:asciiTheme="minorEastAsia" w:hAnsiTheme="minorEastAsia" w:eastAsiaTheme="minorEastAsia" w:cstheme="minorEastAsia"/>
          <w:color w:val="auto"/>
          <w:sz w:val="24"/>
          <w:highlight w:val="none"/>
        </w:rPr>
        <w:t>承担责任。</w:t>
      </w:r>
    </w:p>
    <w:p>
      <w:pPr>
        <w:pStyle w:val="13"/>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auto"/>
          <w:kern w:val="0"/>
          <w:sz w:val="24"/>
          <w:szCs w:val="24"/>
          <w:highlight w:val="none"/>
          <w:lang w:val="en-US" w:eastAsia="zh-CN" w:bidi="ar-SA"/>
        </w:rPr>
      </w:pPr>
      <w:r>
        <w:rPr>
          <w:rFonts w:hint="eastAsia" w:asciiTheme="minorEastAsia" w:hAnsiTheme="minorEastAsia" w:eastAsiaTheme="minorEastAsia" w:cstheme="minorEastAsia"/>
          <w:color w:val="auto"/>
          <w:kern w:val="0"/>
          <w:sz w:val="24"/>
          <w:szCs w:val="24"/>
          <w:highlight w:val="none"/>
          <w:lang w:val="en-US" w:eastAsia="zh-CN" w:bidi="ar-SA"/>
        </w:rPr>
        <w:t>特此声明。</w:t>
      </w: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spacing w:line="440" w:lineRule="exact"/>
        <w:jc w:val="both"/>
        <w:outlineLvl w:val="0"/>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7</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cs="宋体"/>
          <w:b/>
          <w:color w:val="auto"/>
          <w:sz w:val="28"/>
          <w:szCs w:val="28"/>
          <w:highlight w:val="none"/>
          <w:lang w:val="en-US" w:eastAsia="zh-CN"/>
        </w:rPr>
        <w:t xml:space="preserve">售后服务承诺 </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致：</w:t>
      </w:r>
      <w:r>
        <w:rPr>
          <w:rFonts w:hint="eastAsia" w:ascii="宋体" w:hAnsi="宋体" w:cs="宋体"/>
          <w:b/>
          <w:bCs/>
          <w:color w:val="auto"/>
          <w:sz w:val="24"/>
          <w:szCs w:val="24"/>
          <w:highlight w:val="none"/>
          <w:u w:val="single"/>
          <w:lang w:val="en-US" w:eastAsia="zh-CN"/>
        </w:rPr>
        <w:t xml:space="preserve"> </w:t>
      </w:r>
      <w:r>
        <w:rPr>
          <w:rFonts w:hint="eastAsia" w:ascii="宋体" w:hAnsi="宋体"/>
          <w:i w:val="0"/>
          <w:iCs w:val="0"/>
          <w:color w:val="auto"/>
          <w:sz w:val="24"/>
          <w:szCs w:val="24"/>
          <w:highlight w:val="none"/>
          <w:u w:val="single"/>
          <w:lang w:val="en-US" w:eastAsia="zh-CN"/>
        </w:rPr>
        <w:t>泉州师范学院体育学院</w:t>
      </w:r>
      <w:r>
        <w:rPr>
          <w:rFonts w:hint="eastAsia" w:ascii="宋体" w:hAnsi="宋体" w:cs="宋体"/>
          <w:b/>
          <w:bCs/>
          <w:color w:val="auto"/>
          <w:sz w:val="24"/>
          <w:szCs w:val="24"/>
          <w:highlight w:val="none"/>
          <w:u w:val="single"/>
          <w:lang w:val="en-US" w:eastAsia="zh-CN"/>
        </w:rPr>
        <w:t xml:space="preserve">    </w:t>
      </w: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auto"/>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p>
      <w:pPr>
        <w:pStyle w:val="2"/>
        <w:rPr>
          <w:rFonts w:hint="default" w:asciiTheme="minorEastAsia" w:hAnsiTheme="minorEastAsia" w:eastAsiaTheme="minorEastAsia" w:cstheme="minorEastAsia"/>
          <w:color w:val="auto"/>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Segoe UI">
    <w:panose1 w:val="020B0502040204020203"/>
    <w:charset w:val="00"/>
    <w:family w:val="auto"/>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Yuen PRC SemiBold">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50DD06"/>
    <w:multiLevelType w:val="singleLevel"/>
    <w:tmpl w:val="2C50DD06"/>
    <w:lvl w:ilvl="0" w:tentative="0">
      <w:start w:val="3"/>
      <w:numFmt w:val="chineseCounting"/>
      <w:suff w:val="space"/>
      <w:lvlText w:val="第%1部分"/>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