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after="480" w:afterLines="200"/>
        <w:ind w:right="-1680" w:rightChars="-800"/>
        <w:jc w:val="left"/>
        <w:rPr>
          <w:rFonts w:hint="eastAsia" w:ascii="方正小标宋简体" w:eastAsia="方正小标宋简体"/>
          <w:b w:val="0"/>
          <w:spacing w:val="120"/>
          <w:w w:val="100"/>
          <w:sz w:val="120"/>
          <w:szCs w:val="120"/>
        </w:rPr>
      </w:pPr>
      <w:r>
        <w:rPr>
          <w:rFonts w:ascii="宋体" w:hAnsi="宋体"/>
          <w:color w:val="FF0000"/>
          <w:w w:val="80"/>
          <w:sz w:val="120"/>
        </w:rPr>
        <w:pict>
          <v:shape id="_x0000_s1026" o:spid="_x0000_s1026" o:spt="175" type="#_x0000_t175" style="position:absolute;left:0pt;margin-left:36.2pt;margin-top:102.4pt;height:50.5pt;width:367.55pt;z-index:251683840;mso-width-relative:page;mso-height-relative:page;" fillcolor="#FF0000" filled="t" stroked="t" coordsize="21600,21600" adj="0">
            <v:path/>
            <v:fill on="t" color2="#FFFFFF" focussize="0,0"/>
            <v:stroke color="#FF0000"/>
            <v:imagedata o:title=""/>
            <o:lock v:ext="edit" aspectratio="f"/>
            <v:textpath on="t" fitshape="t" fitpath="t" trim="t" xscale="f" string="泉州师范学院文件" style="font-family:宋体;font-size:36pt;v-text-align:stretch-justify;"/>
          </v:shape>
        </w:pict>
      </w:r>
    </w:p>
    <w:p>
      <w:pPr>
        <w:spacing w:line="340" w:lineRule="exact"/>
        <w:jc w:val="center"/>
        <w:rPr>
          <w:rFonts w:hint="eastAsia" w:ascii="仿宋_GB2312" w:eastAsia="仿宋_GB2312"/>
          <w:sz w:val="32"/>
          <w:szCs w:val="32"/>
        </w:rPr>
      </w:pPr>
      <w:bookmarkStart w:id="0" w:name="wcurFileNO"/>
      <w:bookmarkEnd w:id="0"/>
    </w:p>
    <w:p>
      <w:pPr>
        <w:tabs>
          <w:tab w:val="left" w:pos="7513"/>
        </w:tabs>
        <w:ind w:right="183" w:rightChars="87"/>
        <w:jc w:val="center"/>
        <w:rPr>
          <w:rFonts w:ascii="仿宋_GB2312" w:eastAsia="仿宋_GB2312"/>
          <w:sz w:val="32"/>
        </w:rPr>
      </w:pPr>
      <w:bookmarkStart w:id="1" w:name="文件编号"/>
      <w:r>
        <w:rPr>
          <w:rFonts w:hint="eastAsia" w:ascii="仿宋_GB2312" w:eastAsia="仿宋_GB2312"/>
          <w:sz w:val="32"/>
          <w:lang w:eastAsia="zh-CN"/>
        </w:rPr>
        <w:t>泉师人</w:t>
      </w:r>
      <w:r>
        <w:rPr>
          <w:rFonts w:hint="eastAsia" w:ascii="仿宋_GB2312" w:eastAsia="仿宋_GB2312"/>
          <w:sz w:val="32"/>
        </w:rPr>
        <w:t>〔</w:t>
      </w:r>
      <w:r>
        <w:rPr>
          <w:rFonts w:ascii="仿宋_GB2312" w:eastAsia="仿宋_GB2312"/>
          <w:sz w:val="32"/>
        </w:rPr>
        <w:t>201</w:t>
      </w:r>
      <w:r>
        <w:rPr>
          <w:rFonts w:hint="eastAsia" w:ascii="仿宋_GB2312" w:eastAsia="仿宋_GB2312"/>
          <w:sz w:val="32"/>
          <w:lang w:val="en-US" w:eastAsia="zh-CN"/>
        </w:rPr>
        <w:t>9</w:t>
      </w:r>
      <w:r>
        <w:rPr>
          <w:rFonts w:hint="eastAsia" w:ascii="仿宋_GB2312" w:eastAsia="仿宋_GB2312"/>
          <w:sz w:val="32"/>
        </w:rPr>
        <w:t>〕</w:t>
      </w:r>
      <w:bookmarkEnd w:id="1"/>
      <w:r>
        <w:rPr>
          <w:rFonts w:hint="eastAsia" w:ascii="仿宋_GB2312" w:eastAsia="仿宋_GB2312"/>
          <w:sz w:val="32"/>
          <w:lang w:val="en-US" w:eastAsia="zh-CN"/>
        </w:rPr>
        <w:t>62</w:t>
      </w:r>
      <w:r>
        <w:rPr>
          <w:rFonts w:hint="eastAsia" w:ascii="仿宋_GB2312" w:eastAsia="仿宋_GB2312"/>
          <w:sz w:val="32"/>
        </w:rPr>
        <w:t>号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27" w:line="580" w:lineRule="exact"/>
        <w:jc w:val="both"/>
        <w:textAlignment w:val="auto"/>
        <w:rPr>
          <w:rFonts w:hint="eastAsia" w:ascii="方正小标宋简体" w:hAnsi="宋体" w:eastAsia="方正小标宋简体" w:cs="宋体"/>
          <w:bCs/>
          <w:color w:val="000000"/>
          <w:spacing w:val="-1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margin">
                  <wp:posOffset>-28575</wp:posOffset>
                </wp:positionH>
                <wp:positionV relativeFrom="paragraph">
                  <wp:posOffset>46355</wp:posOffset>
                </wp:positionV>
                <wp:extent cx="5544185" cy="635"/>
                <wp:effectExtent l="0" t="17780" r="18415" b="19685"/>
                <wp:wrapNone/>
                <wp:docPr id="51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44185" cy="635"/>
                        </a:xfrm>
                        <a:prstGeom prst="straightConnector1">
                          <a:avLst/>
                        </a:prstGeom>
                        <a:ln w="360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32" type="#_x0000_t32" style="position:absolute;left:0pt;margin-left:-2.25pt;margin-top:3.65pt;height:0.05pt;width:436.55pt;mso-position-horizontal-relative:margin;z-index:251682816;mso-width-relative:page;mso-height-relative:page;" filled="f" stroked="t" coordsize="21600,21600" o:gfxdata="UEsDBAoAAAAAAIdO4kAAAAAAAAAAAAAAAAAEAAAAZHJzL1BLAwQUAAAACACHTuJAQk+ZX9QAAAAG&#10;AQAADwAAAGRycy9kb3ducmV2LnhtbE2OwU6DQBRF9yb+w+SZuDHtgCIiZWiMxo2JC7Ef8AqvgDJv&#10;kJm21K/3udLlzb059xTr2Q7qQJPvHRuIlxEo4to1PbcGNu/PiwyUD8gNDo7JwIk8rMvzswLzxh35&#10;jQ5VaJVA2OdooAthzLX2dUcW/dKNxNLt3GQxSJxa3Ux4FLgd9HUUpdpiz/LQ4UiPHdWf1d4a+Irv&#10;2V59c3jiDc4PyQeeXqsXYy4v4mgFKtAc/sbwqy/qUIrT1u258WowsEhuZWng7gaU1FmapaC2khPQ&#10;ZaH/65c/UEsDBBQAAAAIAIdO4kBSLyVx5AEAAKcDAAAOAAAAZHJzL2Uyb0RvYy54bWytU02O0zAU&#10;3iNxB8t7mmQ6qUZR01m0lA2CSsABXm0nseQ/2aZpd+wQZ2DHkjvAbUYabsGzU8oAG4TYOO/l/X6f&#10;Py9vj1qRg/BBWtPSalZSIgyzXJq+pW9eb5/cUBIiGA7KGtHSkwj0dvX40XJ0jbiyg1VceIJNTGhG&#10;19IhRtcURWCD0BBm1gmDwc56DRFd3xfcw4jdtSquynJRjNZz5y0TIeDfzRSkq9y/6wSLL7suiEhU&#10;S3G3mE+fz306i9USmt6DGyQ7rwH/sIUGaXDopdUGIpC3Xv7RSkvmbbBdnDGrC9t1komMAdFU5W9o&#10;Xg3gRMaC5AR3oSn8v7bsxWHnieQtrStKDGi8o/v3n7+9+3D38evdl09knigaXWgwc212/uwFt/MJ&#10;77HzOn0RCTlmWk8XWsUxEoY/6/r6urqpKWEYW8zr1LH4Wep8iM+E1SQZLQ3Rg+yHuLbG4PVZX2Vi&#10;4fA8xKnwR0GaqwwZWzpflCXeLgNUUKcgoqkdYgqmz8XBKsm3UqlUEny/XytPDoCa2G6xMssAN/ol&#10;LU3ZQBimvBya1DII4E8NJ/HkkCyDsqZpBy04JUrgK0gWbgpNBKn+JhNHK5MKRFbsGWgifaI5WXvL&#10;T5n9InmohszhWblJbg99tB++r9V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Qk+ZX9QAAAAGAQAA&#10;DwAAAAAAAAABACAAAAAiAAAAZHJzL2Rvd25yZXYueG1sUEsBAhQAFAAAAAgAh07iQFIvJXHkAQAA&#10;pwMAAA4AAAAAAAAAAQAgAAAAIwEAAGRycy9lMm9Eb2MueG1sUEsFBgAAAAAGAAYAWQEAAHkFAAAA&#10;AA==&#10;">
                <v:fill on="f" focussize="0,0"/>
                <v:stroke weight="2.83464566929134pt" color="#FF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小标宋简体" w:hAnsi="宋体" w:eastAsia="方正小标宋简体" w:cs="宋体"/>
          <w:bCs/>
          <w:color w:val="000000"/>
          <w:spacing w:val="-10"/>
          <w:kern w:val="0"/>
          <w:sz w:val="32"/>
          <w:szCs w:val="32"/>
          <w:lang w:val="en-US" w:eastAsia="zh-CN"/>
        </w:rPr>
        <w:t xml:space="preserve">  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27" w:line="580" w:lineRule="exact"/>
        <w:jc w:val="both"/>
        <w:textAlignment w:val="auto"/>
        <w:rPr>
          <w:rFonts w:hint="eastAsia" w:ascii="方正小标宋简体" w:hAnsi="宋体" w:eastAsia="方正小标宋简体" w:cs="宋体"/>
          <w:bCs/>
          <w:color w:val="000000"/>
          <w:spacing w:val="-1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color w:val="000000"/>
          <w:spacing w:val="-1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-10"/>
          <w:kern w:val="0"/>
          <w:sz w:val="44"/>
          <w:szCs w:val="44"/>
        </w:rPr>
        <w:t>泉州师范学院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-10"/>
          <w:kern w:val="0"/>
          <w:sz w:val="44"/>
          <w:szCs w:val="44"/>
          <w:lang w:eastAsia="zh-CN"/>
        </w:rPr>
        <w:t>关于</w:t>
      </w:r>
      <w:bookmarkStart w:id="2" w:name="_GoBack"/>
      <w:bookmarkEnd w:id="2"/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-10"/>
          <w:kern w:val="0"/>
          <w:sz w:val="44"/>
          <w:szCs w:val="44"/>
          <w:lang w:eastAsia="zh-CN"/>
        </w:rPr>
        <w:t>吴小玲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-10"/>
          <w:kern w:val="0"/>
          <w:sz w:val="44"/>
          <w:szCs w:val="44"/>
          <w:lang w:val="en-US" w:eastAsia="zh-CN"/>
        </w:rPr>
        <w:t>同志正高级会计师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-10"/>
          <w:kern w:val="0"/>
          <w:sz w:val="44"/>
          <w:szCs w:val="44"/>
          <w:lang w:val="en-US" w:eastAsia="zh-CN"/>
        </w:rPr>
        <w:t>职务聘任的通知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各学院，机关各部（处、室），各直属单位：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财务处吴小玲同志经所在单位推荐、校职称推荐小组评议推荐、学校公示，其正高级会计师职务任职资格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经福建省2019年正高级会计师评审委员会评审通过，并经福建省人力资源和社会保障厅批准确认。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根据《泉州师范学院专业技术职务聘任制实施方案（试行）》（泉师院人〔2013〕11号）等文件精神，经所在单位考察、职能部门审核，并经学校审批、公示，同意聘任吴小玲同志正高级会计师职务，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聘任时间自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2019年12月19日算起。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5706" w:leftChars="2565" w:right="-6" w:rightChars="0" w:hanging="320" w:hangingChars="100"/>
        <w:jc w:val="both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eastAsia="zh-CN"/>
        </w:rPr>
      </w:pPr>
      <w:r>
        <w:rPr>
          <w:rFonts w:hint="eastAsia" w:ascii="仿宋GB2312" w:hAnsi="仿宋GB2312" w:eastAsia="仿宋GB2312" w:cs="仿宋GB2312"/>
          <w:sz w:val="32"/>
          <w:szCs w:val="32"/>
          <w:lang w:eastAsia="zh-CN"/>
        </w:rPr>
        <w:t>泉州师范学院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-6" w:rightChars="0" w:firstLine="5120" w:firstLineChars="16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  <w:r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  <w:t>2019年12月24日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-6" w:rightChars="0" w:firstLine="5120" w:firstLineChars="16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-6" w:rightChars="0" w:firstLine="5120" w:firstLineChars="16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-6" w:rightChars="0" w:firstLine="5120" w:firstLineChars="16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-6" w:rightChars="0" w:firstLine="5120" w:firstLineChars="16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-6" w:rightChars="0" w:firstLine="5120" w:firstLineChars="16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6" w:rightChars="0" w:firstLine="5120" w:firstLineChars="16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6" w:rightChars="0" w:firstLine="5120" w:firstLineChars="16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6" w:rightChars="0" w:firstLine="5120" w:firstLineChars="16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6" w:rightChars="0" w:firstLine="5120" w:firstLineChars="16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6" w:rightChars="0" w:firstLine="5120" w:firstLineChars="16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6" w:rightChars="0" w:firstLine="5120" w:firstLineChars="16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6" w:rightChars="0" w:firstLine="5120" w:firstLineChars="16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6" w:rightChars="0" w:firstLine="5120" w:firstLineChars="1600"/>
        <w:jc w:val="left"/>
        <w:textAlignment w:val="auto"/>
        <w:outlineLvl w:val="9"/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righ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80" w:firstLineChars="100"/>
        <w:textAlignment w:val="auto"/>
        <w:outlineLvl w:val="9"/>
        <w:rPr>
          <w:rFonts w:hint="eastAsia" w:ascii="仿宋GB2312" w:hAnsi="仿宋GB2312" w:eastAsia="仿宋GB2312" w:cs="仿宋GB2312"/>
          <w:sz w:val="28"/>
          <w:szCs w:val="28"/>
          <w:u w:val="none"/>
        </w:rPr>
      </w:pPr>
      <w:r>
        <w:rPr>
          <w:rFonts w:hint="eastAsia" w:ascii="仿宋GB2312" w:hAnsi="仿宋GB2312" w:eastAsia="仿宋GB2312" w:cs="仿宋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37465</wp:posOffset>
                </wp:positionH>
                <wp:positionV relativeFrom="paragraph">
                  <wp:posOffset>17780</wp:posOffset>
                </wp:positionV>
                <wp:extent cx="5578475" cy="12065"/>
                <wp:effectExtent l="0" t="0" r="0" b="0"/>
                <wp:wrapNone/>
                <wp:docPr id="4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78475" cy="1206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flip:y;margin-left:2.95pt;margin-top:1.4pt;height:0.95pt;width:439.25pt;z-index:251699200;mso-width-relative:page;mso-height-relative:page;" filled="f" stroked="t" coordsize="21600,21600" o:gfxdata="UEsDBAoAAAAAAIdO4kAAAAAAAAAAAAAAAAAEAAAAZHJzL1BLAwQUAAAACACHTuJAJ0Gs0tQAAAAF&#10;AQAADwAAAGRycy9kb3ducmV2LnhtbE2OzU7DMBCE70i8g7VIXKrWbhUgDdn0gEQlpHJoywO48TYJ&#10;xOsodn94e5YTHEcz+uYrV1ffqzONsQuMMJ8ZUMR1cB03CB/712kOKibLzvaBCeGbIqyq25vSFi5c&#10;eEvnXWqUQDgWFqFNaSi0jnVL3sZZGIilO4bR2yRxbLQb7UXgvtcLYx61tx3LQ2sHemmp/tqdPEKc&#10;8OZ9u5HTPdHRfE6G9dq/Id7fzc0zqETX9DeGX31Rh0qcDuHELqoe4WEpQ4SF+Eub51kG6oCQPYGu&#10;Sv3fvvoBUEsDBBQAAAAIAIdO4kD+xGOHywEAAJoDAAAOAAAAZHJzL2Uyb0RvYy54bWytU8tu2zAQ&#10;vBfoPxC815LdOEkFyznETS9Ba6Bt7ms+JAJ8gctY9t93STvu6xIU1YFYcofDndnV6u7gLNurhCb4&#10;ns9nLWfKiyCNH3r+/dvDu1vOMIOXYINXPT8q5Hfrt29WU+zUIozBSpUYkXjsptjzMefYNQ2KUTnA&#10;WYjKU1KH5CDTNg2NTDARu7PNom2vmykkGVMQCpFON6ckX1d+rZXIX7RGlZntOdWW65rquitrs15B&#10;NySIoxHnMuAfqnBgPD16odpABvaczF9UzogUMOg8E8E1QWsjVNVAaubtH2q+jhBV1ULmYLzYhP+P&#10;VnzebxMzsudXnHlw1KJH4xV7X5yZInYEuPfbdN5h3KYi86CTY9qa+ERNr8JJCjtUX48XX9UhM0GH&#10;y+XN7dXNkjNBufmivV4W9uZEU+hiwvxJBcdK0HNLFVRS2D9iPkFfIAVuPZuI6EO7pJYKoLHRFjKF&#10;LpIQ9EO9jMEa+WCsLVcwDbt7m9geyiDU71zDb7DyygZwPOFqqsCgGxXIj16yfIxkkadZ5qUGpyRn&#10;VtHol6giMxj7GiTJt55cKCafbC3RLsgjNeQ5JjOMZMW8VlkyNADVs/Owlgn7dV+Zfv5S6x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AnQazS1AAAAAUBAAAPAAAAAAAAAAEAIAAAACIAAABkcnMvZG93&#10;bnJldi54bWxQSwECFAAUAAAACACHTuJA/sRjh8sBAACaAwAADgAAAAAAAAABACAAAAAjAQAAZHJz&#10;L2Uyb0RvYy54bWxQSwUGAAAAAAYABgBZAQAAYA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GB2312" w:hAnsi="仿宋GB2312" w:eastAsia="仿宋GB2312" w:cs="仿宋GB2312"/>
          <w:sz w:val="28"/>
          <w:szCs w:val="28"/>
          <w:u w:val="none"/>
        </w:rPr>
        <w:t>抄送：泉州市人社局</w:t>
      </w:r>
      <w:r>
        <w:rPr>
          <w:rFonts w:hint="eastAsia" w:ascii="仿宋GB2312" w:hAnsi="仿宋GB2312" w:eastAsia="仿宋GB2312" w:cs="仿宋GB2312"/>
          <w:sz w:val="28"/>
          <w:szCs w:val="28"/>
          <w:u w:val="none"/>
          <w:lang w:eastAsia="zh-CN"/>
        </w:rPr>
        <w:t>，</w:t>
      </w:r>
      <w:r>
        <w:rPr>
          <w:rFonts w:hint="eastAsia" w:ascii="仿宋GB2312" w:hAnsi="仿宋GB2312" w:eastAsia="仿宋GB2312" w:cs="仿宋GB2312"/>
          <w:sz w:val="28"/>
          <w:szCs w:val="28"/>
          <w:u w:val="none"/>
        </w:rPr>
        <w:t>泉州市教育局。</w:t>
      </w:r>
      <w:r>
        <w:rPr>
          <w:rFonts w:hint="eastAsia" w:ascii="仿宋GB2312" w:hAnsi="仿宋GB2312" w:eastAsia="仿宋GB2312" w:cs="仿宋GB2312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仿宋GB2312" w:hAnsi="仿宋GB2312" w:eastAsia="仿宋GB2312" w:cs="仿宋GB2312"/>
          <w:sz w:val="28"/>
          <w:szCs w:val="28"/>
          <w:u w:val="none"/>
        </w:rPr>
        <w:t xml:space="preserve">        </w:t>
      </w:r>
      <w:r>
        <w:rPr>
          <w:rFonts w:hint="eastAsia" w:ascii="仿宋GB2312" w:hAnsi="仿宋GB2312" w:eastAsia="仿宋GB2312" w:cs="仿宋GB2312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仿宋GB2312" w:hAnsi="仿宋GB2312" w:eastAsia="仿宋GB2312" w:cs="仿宋GB2312"/>
          <w:sz w:val="28"/>
          <w:szCs w:val="28"/>
          <w:u w:val="none"/>
        </w:rPr>
        <w:t xml:space="preserve"> </w:t>
      </w:r>
      <w:r>
        <w:rPr>
          <w:rFonts w:hint="eastAsia" w:ascii="仿宋GB2312" w:hAnsi="仿宋GB2312" w:eastAsia="仿宋GB2312" w:cs="仿宋GB2312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仿宋GB2312" w:hAnsi="仿宋GB2312" w:eastAsia="仿宋GB2312" w:cs="仿宋GB2312"/>
          <w:sz w:val="28"/>
          <w:szCs w:val="28"/>
          <w:u w:val="none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GB2312" w:hAnsi="仿宋GB2312" w:eastAsia="仿宋GB2312" w:cs="仿宋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29210</wp:posOffset>
                </wp:positionH>
                <wp:positionV relativeFrom="paragraph">
                  <wp:posOffset>372745</wp:posOffset>
                </wp:positionV>
                <wp:extent cx="5562600" cy="10160"/>
                <wp:effectExtent l="0" t="9525" r="0" b="18415"/>
                <wp:wrapNone/>
                <wp:docPr id="5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62600" cy="1016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2.3pt;margin-top:29.35pt;height:0.8pt;width:438pt;z-index:251700224;mso-width-relative:page;mso-height-relative:page;" filled="f" stroked="t" coordsize="21600,21600" o:gfxdata="UEsDBAoAAAAAAIdO4kAAAAAAAAAAAAAAAAAEAAAAZHJzL1BLAwQUAAAACACHTuJAjSsGTdQAAAAH&#10;AQAADwAAAGRycy9kb3ducmV2LnhtbE2OwU7DMBBE70j8g7VI3KhdaIMJcSpRiUtvhAo4bmOTRMTr&#10;KHbT5u9ZTvS4M6O3r9icfS8mN8YukIHlQoFwVAfbUWNg//56p0HEhGSxD+QMzC7Cpry+KjC34URv&#10;bqpSIxhCMUcDbUpDLmWsW+cxLsLgiLvvMHpMfI6NtCOeGO57ea9UJj12xB9aHNy2dfVPdfRMWX/q&#10;lx3q/Tz31dfTavuxm8gbc3uzVM8gkjun/zH86bM6lOx0CEeyUfQGVhkPDaz1IwiutVYcHAxk6gFk&#10;WchL//IXUEsDBBQAAAAIAIdO4kCAWAr7xQEAAJADAAAOAAAAZHJzL2Uyb0RvYy54bWytU8mO2zAM&#10;vRfoPwi6N7aDSdAaceYwmell0AZo+wGMFluANoiaOPn7Ukqa6XIpivogUyL1+PhIbe5PzrKjSmiC&#10;H3i3aDlTXgRp/Djwb1+f3r3nDDN4CTZ4NfCzQn6/fftmM8deLcMUrFSJEYjHfo4Dn3KOfdOgmJQD&#10;XISoPDl1SA4ybdPYyAQzoTvbLNt23cwhyZiCUIh0urs4+bbia61E/qw1qszswIlbrmuq66GszXYD&#10;/ZggTkZcacA/sHBgPCW9Qe0gA3tJ5g8oZ0QKGHReiOCaoLURqtZA1XTtb9V8mSCqWguJg/EmE/4/&#10;WPHpuE/MyIGvOPPgqEXPxit2V5SZI/YU8OD36brDuE+lzJNOrvypAHaqap5vaqpTZoIOV6v1ct2S&#10;6IJ8Xdutq9rN6+WYMH9UwbFiDNxS3qohHJ8xU0IK/RFSclnPZgL60K4KJtCwaAuZTBeJPvqxXsZg&#10;jXwy1pYrmMbDg03sCKX99St1EfAvYSXLDnC6xFXXZTAmBfLRS5bPkYTxNMG8cHBKcmYVDXyxCBD6&#10;DMb+TSSltp4YFGkvYhbrEOSZ2vASkxknkqKrLIuH2l75Xke0zNXP+4r0+pC23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NKwZN1AAAAAcBAAAPAAAAAAAAAAEAIAAAACIAAABkcnMvZG93bnJldi54&#10;bWxQSwECFAAUAAAACACHTuJAgFgK+8UBAACQAwAADgAAAAAAAAABACAAAAAjAQAAZHJzL2Uyb0Rv&#10;Yy54bWxQSwUGAAAAAAYABgBZAQAAWg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GB2312" w:hAnsi="仿宋GB2312" w:eastAsia="仿宋GB2312" w:cs="仿宋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19685</wp:posOffset>
                </wp:positionH>
                <wp:positionV relativeFrom="paragraph">
                  <wp:posOffset>39370</wp:posOffset>
                </wp:positionV>
                <wp:extent cx="5553075" cy="0"/>
                <wp:effectExtent l="0" t="0" r="0" b="0"/>
                <wp:wrapNone/>
                <wp:docPr id="1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3075" cy="0"/>
                        </a:xfrm>
                        <a:prstGeom prst="line">
                          <a:avLst/>
                        </a:prstGeom>
                        <a:ln>
                          <a:headEnd type="none" w="med" len="med"/>
                          <a:tailEnd type="non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1.55pt;margin-top:3.1pt;height:0pt;width:437.25pt;z-index:251743232;mso-width-relative:page;mso-height-relative:page;" filled="f" stroked="t" coordsize="21600,21600" o:gfxdata="UEsDBAoAAAAAAIdO4kAAAAAAAAAAAAAAAAAEAAAAZHJzL1BLAwQUAAAACACHTuJAMVlnCtIAAAAF&#10;AQAADwAAAGRycy9kb3ducmV2LnhtbE2OsU7DMBRFdyT+wXpIbNRJkZIoxOmAxICEBAQGRjd+jdPa&#10;z8F2k/D3GBYYr+7VuafZrdawGX0YHQnINxkwpN6pkQYB728PNxWwECUpaRyhgC8MsGsvLxpZK7fQ&#10;K85dHFiCUKilAB3jVHMeeo1Who2bkFJ3cN7KmKIfuPJySXBr+DbLCm7lSOlBywnvNfan7mwThcrP&#10;w2r8x8vzk6665YiPc4lCXF/l2R2wiGv8G8OPflKHNjnt3ZlUYEbAbZ6GAootsNRWZVkA2/9m3jb8&#10;v337DVBLAwQUAAAACACHTuJA5IfWINgBAAC4AwAADgAAAGRycy9lMm9Eb2MueG1srVPLbtswELwX&#10;6D8QvNeSkyoNBMs5xE0vQWug7Qes+ZAI8AUuY9l/3yXtOH1cgqA6UKR2OTuzO1rdHZxle5XQBD/w&#10;5aLlTHkRpPHjwH/+ePhwyxlm8BJs8GrgR4X8bv3+3WqOvboKU7BSJUYgHvs5DnzKOfZNg2JSDnAR&#10;ovIU1CE5yHRMYyMTzITubHPVtjfNHJKMKQiFSF83pyBfV3ytlcjftEaVmR04cct1TXXdlbVZr6Af&#10;E8TJiDMNeAMLB8ZT0QvUBjKwp2T+gXJGpIBB54UIrglaG6GqBlKzbP9S832CqKoWag7GS5vw/8GK&#10;r/ttYkbS7Djz4GhEj8Yr9rF0Zo7YU8K936bzCeM2FZkHnVx5kwB2qN08XrqpDpkJ+th13XX7qeNM&#10;PMeal4sxYf6igmNlM3BLNWv/YP+ImYpR6nNKqePDg7G2Dst6Ng/85rqjcQogy2gLmbYukgj0I2dg&#10;R/KiyKkiYrBGltsFB9O4u7eJ7aH4oT5FKFX7I62U3gBOp7waOjnFmUx2tcYN/PZyG/pJgfzsJcvH&#10;SA305HReSDolObOKyJRdZZ/B2NdkEiPriVgZwanpZbcL8kjjeorJjBO1bVnJlwjZo8o4W7n47/dz&#10;RXr54da/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DFZZwrSAAAABQEAAA8AAAAAAAAAAQAgAAAA&#10;IgAAAGRycy9kb3ducmV2LnhtbFBLAQIUABQAAAAIAIdO4kDkh9Yg2AEAALgDAAAOAAAAAAAAAAEA&#10;IAAAACEBAABkcnMvZTJvRG9jLnhtbFBLBQYAAAAABgAGAFkBAABrBQAAAAA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GB2312" w:hAnsi="仿宋GB2312" w:eastAsia="仿宋GB2312" w:cs="仿宋GB2312"/>
          <w:sz w:val="28"/>
          <w:szCs w:val="28"/>
        </w:rPr>
        <w:t xml:space="preserve">  泉州师范学院</w:t>
      </w:r>
      <w:r>
        <w:rPr>
          <w:rFonts w:hint="eastAsia" w:ascii="仿宋GB2312" w:hAnsi="仿宋GB2312" w:eastAsia="仿宋GB2312" w:cs="仿宋GB2312"/>
          <w:sz w:val="28"/>
          <w:szCs w:val="28"/>
          <w:lang w:eastAsia="zh-CN"/>
        </w:rPr>
        <w:t>党政</w:t>
      </w:r>
      <w:r>
        <w:rPr>
          <w:rFonts w:hint="eastAsia" w:ascii="仿宋GB2312" w:hAnsi="仿宋GB2312" w:eastAsia="仿宋GB2312" w:cs="仿宋GB2312"/>
          <w:sz w:val="28"/>
          <w:szCs w:val="28"/>
        </w:rPr>
        <w:t xml:space="preserve">办公室   </w:t>
      </w:r>
      <w:r>
        <w:rPr>
          <w:rFonts w:hint="eastAsia" w:ascii="仿宋GB2312" w:hAnsi="仿宋GB2312" w:eastAsia="仿宋GB2312" w:cs="仿宋GB2312"/>
          <w:sz w:val="28"/>
          <w:szCs w:val="28"/>
          <w:lang w:val="en-US" w:eastAsia="zh-CN"/>
        </w:rPr>
        <w:t xml:space="preserve">             </w:t>
      </w:r>
      <w:r>
        <w:rPr>
          <w:rFonts w:hint="eastAsia" w:ascii="仿宋GB2312" w:hAnsi="仿宋GB2312" w:eastAsia="仿宋GB2312" w:cs="仿宋GB2312"/>
          <w:sz w:val="28"/>
          <w:szCs w:val="28"/>
        </w:rPr>
        <w:t>201</w:t>
      </w:r>
      <w:r>
        <w:rPr>
          <w:rFonts w:hint="eastAsia" w:ascii="仿宋GB2312" w:hAnsi="仿宋GB2312" w:eastAsia="仿宋GB2312" w:cs="仿宋GB2312"/>
          <w:sz w:val="28"/>
          <w:szCs w:val="28"/>
          <w:lang w:val="en-US" w:eastAsia="zh-CN"/>
        </w:rPr>
        <w:t>9</w:t>
      </w:r>
      <w:r>
        <w:rPr>
          <w:rFonts w:hint="eastAsia" w:ascii="仿宋GB2312" w:hAnsi="仿宋GB2312" w:eastAsia="仿宋GB2312" w:cs="仿宋GB2312"/>
          <w:sz w:val="28"/>
          <w:szCs w:val="28"/>
        </w:rPr>
        <w:t>年</w:t>
      </w:r>
      <w:r>
        <w:rPr>
          <w:rFonts w:hint="eastAsia" w:ascii="仿宋GB2312" w:hAnsi="仿宋GB2312" w:eastAsia="仿宋GB2312" w:cs="仿宋GB2312"/>
          <w:sz w:val="28"/>
          <w:szCs w:val="28"/>
          <w:lang w:val="en-US" w:eastAsia="zh-CN"/>
        </w:rPr>
        <w:t>12</w:t>
      </w:r>
      <w:r>
        <w:rPr>
          <w:rFonts w:hint="eastAsia" w:ascii="仿宋GB2312" w:hAnsi="仿宋GB2312" w:eastAsia="仿宋GB2312" w:cs="仿宋GB2312"/>
          <w:sz w:val="28"/>
          <w:szCs w:val="28"/>
        </w:rPr>
        <w:t>月</w:t>
      </w:r>
      <w:r>
        <w:rPr>
          <w:rFonts w:hint="eastAsia" w:ascii="仿宋GB2312" w:hAnsi="仿宋GB2312" w:eastAsia="仿宋GB2312" w:cs="仿宋GB2312"/>
          <w:sz w:val="28"/>
          <w:szCs w:val="28"/>
          <w:lang w:val="en-US" w:eastAsia="zh-CN"/>
        </w:rPr>
        <w:t>25</w:t>
      </w:r>
      <w:r>
        <w:rPr>
          <w:rFonts w:hint="eastAsia" w:ascii="仿宋GB2312" w:hAnsi="仿宋GB2312" w:eastAsia="仿宋GB2312" w:cs="仿宋GB2312"/>
          <w:sz w:val="28"/>
          <w:szCs w:val="28"/>
        </w:rPr>
        <w:t xml:space="preserve">日印发  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