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宋体" w:eastAsia="方正小标宋简体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形势与政策</w:t>
      </w: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任课教师选聘方案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为加强“形势与政策”课程师资队伍建设，学校决定面向全校选聘第二批“形势与政策”课程任课教师，具体方案如下：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一、基本原则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坚持“公开、平等、竞争、择优”的原则，采取自愿报名、组织推荐、统一考核、择优录取的方式进行。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二、选聘对象与人数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1.选聘对象：全校专职辅导员。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2.选聘人数：15名。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三、选聘条件与要求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1.遵纪守法，品行端正，作风正派，无违法违纪记录，热爱教育事业，具有良好的教师职业道德；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2.中共党员；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.每个二级学院推荐人数不少于2名；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4.原有担任“形势与政策”教学工作的辅导员及其他政工干部，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如个人愿意继续聘任，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不再参加本次选聘。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四、选聘办法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（一）报名及资格审核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1.报名时间：2022年9月20日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9月27日。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2.报名方式：将电子报名表（见附件）发至1428688480@qq.com，纸质报名表加盖二级党组织公章于面试时提交。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3.资格审核：学校对报名人员进行资格审查，研究确定初选人员名单。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（二）考核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1.组织实施：考核工作由教师工作部、学工部、教务处、马克思主义学院等单位共同组织实施。考核评委由7名校内专家组成。设组长1名，由组长具体负责考核事宜。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2.考核方式：应聘教师根据给定课题备课，制作课件，进行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5~8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分钟的试讲。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3.考核时间地点：另行通知。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4.考核成绩：考核成绩实行百分制，去掉一个最高分和一个最低分，其余分数的平均值为应聘教师的考核成绩。合格线为75分，成绩低于合格线者不予聘任。考核成绩当场公布。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附件：泉州师范学院“形势与政策”课教师应聘表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19" w:firstLine="5320" w:firstLineChars="19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19"/>
        <w:jc w:val="center"/>
        <w:textAlignment w:val="auto"/>
        <w:rPr>
          <w:rFonts w:hint="eastAsia" w:ascii="仿宋" w:hAnsi="仿宋" w:eastAsia="仿宋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  <w:t xml:space="preserve">                      教务处、马克思主义学院</w:t>
      </w:r>
    </w:p>
    <w:p>
      <w:pPr>
        <w:pStyle w:val="2"/>
        <w:ind w:firstLine="4800" w:firstLineChars="1500"/>
        <w:rPr>
          <w:rFonts w:hint="eastAsia" w:ascii="仿宋" w:hAnsi="仿宋" w:eastAsia="仿宋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/>
          <w:kern w:val="2"/>
          <w:sz w:val="32"/>
          <w:szCs w:val="32"/>
          <w:u w:val="none"/>
          <w:lang w:val="en-US" w:eastAsia="zh-CN" w:bidi="ar-SA"/>
        </w:rPr>
        <w:t>2022年9月20日</w:t>
      </w:r>
    </w:p>
    <w:p>
      <w:pPr>
        <w:pStyle w:val="2"/>
        <w:ind w:left="0" w:firstLine="7360" w:firstLineChars="2300"/>
        <w:rPr>
          <w:rFonts w:hint="eastAsia" w:ascii="仿宋" w:hAnsi="仿宋" w:eastAsia="仿宋"/>
          <w:kern w:val="2"/>
          <w:sz w:val="32"/>
          <w:szCs w:val="32"/>
          <w:u w:val="none"/>
          <w:lang w:val="en-US" w:eastAsia="zh-CN" w:bidi="ar-SA"/>
        </w:rPr>
      </w:pPr>
    </w:p>
    <w:p>
      <w:pPr>
        <w:pStyle w:val="2"/>
        <w:ind w:left="0" w:firstLine="5520" w:firstLineChars="2300"/>
        <w:rPr>
          <w:rFonts w:hint="eastAsia"/>
          <w:sz w:val="24"/>
          <w:szCs w:val="24"/>
          <w:lang w:val="en-US" w:eastAsia="zh-CN"/>
        </w:rPr>
      </w:pPr>
    </w:p>
    <w:p>
      <w:pPr>
        <w:pStyle w:val="2"/>
        <w:ind w:left="0" w:firstLine="5520" w:firstLineChars="2300"/>
        <w:rPr>
          <w:rFonts w:hint="eastAsia"/>
          <w:sz w:val="24"/>
          <w:szCs w:val="24"/>
          <w:lang w:val="en-US" w:eastAsia="zh-CN"/>
        </w:rPr>
      </w:pPr>
    </w:p>
    <w:p>
      <w:pPr>
        <w:pStyle w:val="2"/>
        <w:ind w:left="0" w:firstLine="5520" w:firstLineChars="2300"/>
        <w:rPr>
          <w:rFonts w:hint="eastAsia"/>
          <w:sz w:val="24"/>
          <w:szCs w:val="24"/>
          <w:lang w:val="en-US" w:eastAsia="zh-CN"/>
        </w:rPr>
      </w:pPr>
    </w:p>
    <w:p>
      <w:pPr>
        <w:pStyle w:val="2"/>
        <w:ind w:left="0" w:firstLine="5520" w:firstLineChars="2300"/>
        <w:rPr>
          <w:rFonts w:hint="eastAsia"/>
          <w:sz w:val="24"/>
          <w:szCs w:val="24"/>
          <w:lang w:val="en-US" w:eastAsia="zh-CN"/>
        </w:rPr>
      </w:pPr>
    </w:p>
    <w:p>
      <w:pPr>
        <w:pStyle w:val="2"/>
        <w:ind w:left="0" w:firstLine="5520" w:firstLineChars="2300"/>
        <w:rPr>
          <w:rFonts w:hint="eastAsia"/>
          <w:sz w:val="24"/>
          <w:szCs w:val="24"/>
          <w:lang w:val="en-US" w:eastAsia="zh-CN"/>
        </w:rPr>
      </w:pPr>
    </w:p>
    <w:p>
      <w:pPr>
        <w:pStyle w:val="2"/>
        <w:ind w:left="0" w:firstLine="5520" w:firstLineChars="2300"/>
        <w:rPr>
          <w:rFonts w:hint="eastAsia"/>
          <w:sz w:val="24"/>
          <w:szCs w:val="24"/>
          <w:lang w:val="en-US" w:eastAsia="zh-CN"/>
        </w:rPr>
      </w:pPr>
    </w:p>
    <w:p>
      <w:pPr>
        <w:pStyle w:val="2"/>
        <w:ind w:left="0" w:firstLine="5520" w:firstLineChars="2300"/>
        <w:rPr>
          <w:rFonts w:hint="eastAsia"/>
          <w:sz w:val="24"/>
          <w:szCs w:val="24"/>
          <w:lang w:val="en-US" w:eastAsia="zh-CN"/>
        </w:rPr>
      </w:pPr>
    </w:p>
    <w:p>
      <w:pPr>
        <w:pStyle w:val="2"/>
        <w:ind w:left="0" w:firstLine="5520" w:firstLineChars="2300"/>
        <w:rPr>
          <w:rFonts w:hint="eastAsia"/>
          <w:sz w:val="24"/>
          <w:szCs w:val="24"/>
          <w:lang w:val="en-US" w:eastAsia="zh-CN"/>
        </w:rPr>
      </w:pPr>
    </w:p>
    <w:p>
      <w:pPr>
        <w:pStyle w:val="2"/>
        <w:ind w:left="0" w:firstLine="5520" w:firstLineChars="2300"/>
        <w:rPr>
          <w:rFonts w:hint="eastAsia"/>
          <w:sz w:val="24"/>
          <w:szCs w:val="24"/>
          <w:lang w:val="en-US" w:eastAsia="zh-CN"/>
        </w:rPr>
      </w:pPr>
    </w:p>
    <w:p>
      <w:pPr>
        <w:pStyle w:val="2"/>
        <w:ind w:left="0" w:firstLine="5520" w:firstLineChars="2300"/>
        <w:rPr>
          <w:rFonts w:hint="eastAsia"/>
          <w:sz w:val="24"/>
          <w:szCs w:val="24"/>
          <w:lang w:val="en-US" w:eastAsia="zh-CN"/>
        </w:rPr>
      </w:pPr>
    </w:p>
    <w:p>
      <w:pPr>
        <w:widowControl/>
        <w:jc w:val="left"/>
        <w:textAlignment w:val="center"/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  <w:lang w:eastAsia="zh-CN" w:bidi="ar"/>
        </w:rPr>
        <w:t>附件</w:t>
      </w:r>
    </w:p>
    <w:tbl>
      <w:tblPr>
        <w:tblStyle w:val="7"/>
        <w:tblpPr w:leftFromText="180" w:rightFromText="180" w:vertAnchor="text" w:horzAnchor="page" w:tblpX="1594" w:tblpY="654"/>
        <w:tblOverlap w:val="never"/>
        <w:tblW w:w="875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1683"/>
        <w:gridCol w:w="1414"/>
        <w:gridCol w:w="2208"/>
        <w:gridCol w:w="18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姓　　名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性    别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8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照片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电子版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 w:bidi="ar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出生日期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政治面貌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8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 w:bidi="ar"/>
              </w:rPr>
              <w:t>本科专业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毕业学校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8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最后学位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学位专业</w:t>
            </w:r>
          </w:p>
        </w:tc>
        <w:tc>
          <w:tcPr>
            <w:tcW w:w="4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取得时间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授予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 w:bidi="ar"/>
              </w:rPr>
              <w:t>学校</w:t>
            </w:r>
          </w:p>
        </w:tc>
        <w:tc>
          <w:tcPr>
            <w:tcW w:w="4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3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560" w:firstLineChars="200"/>
              <w:jc w:val="left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所在二级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学院</w:t>
            </w:r>
          </w:p>
        </w:tc>
        <w:tc>
          <w:tcPr>
            <w:tcW w:w="55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</w:trPr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 w:bidi="ar"/>
              </w:rPr>
              <w:t>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 w:bidi="ar"/>
              </w:rPr>
              <w:t>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 w:bidi="ar"/>
              </w:rPr>
              <w:t>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 w:bidi="ar"/>
              </w:rPr>
              <w:t>历</w:t>
            </w:r>
          </w:p>
        </w:tc>
        <w:tc>
          <w:tcPr>
            <w:tcW w:w="7201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</w:trPr>
        <w:tc>
          <w:tcPr>
            <w:tcW w:w="15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（含科研成果）</w:t>
            </w:r>
          </w:p>
        </w:tc>
        <w:tc>
          <w:tcPr>
            <w:tcW w:w="7201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8" w:hRule="atLeast"/>
        </w:trPr>
        <w:tc>
          <w:tcPr>
            <w:tcW w:w="8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二级学院党委（总支）意见</w:t>
            </w:r>
          </w:p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          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         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 xml:space="preserve">领导签字：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公 章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 xml:space="preserve">年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 xml:space="preserve">月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日</w:t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  <w:shd w:val="clear" w:color="auto" w:fill="FFFFFF"/>
        </w:rPr>
        <w:t>泉州师范学院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  <w:shd w:val="clear" w:color="auto" w:fill="FFFFFF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  <w:shd w:val="clear" w:color="auto" w:fill="FFFFFF"/>
        </w:rPr>
        <w:t>形势与政策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  <w:shd w:val="clear" w:color="auto" w:fill="FFFFFF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  <w:shd w:val="clear" w:color="auto" w:fill="FFFFFF"/>
        </w:rPr>
        <w:t>课教师应聘表</w:t>
      </w:r>
    </w:p>
    <w:p>
      <w:pPr>
        <w:pStyle w:val="2"/>
        <w:ind w:left="0" w:firstLine="5520" w:firstLineChars="2300"/>
        <w:rPr>
          <w:rFonts w:hint="default"/>
          <w:sz w:val="24"/>
          <w:szCs w:val="24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